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5116" w14:textId="77777777" w:rsidR="00DE2928" w:rsidRPr="00012786" w:rsidRDefault="00DE2928" w:rsidP="00A03C8F">
      <w:pPr>
        <w:suppressAutoHyphens w:val="0"/>
        <w:spacing w:before="120"/>
        <w:contextualSpacing/>
        <w:jc w:val="center"/>
        <w:rPr>
          <w:rFonts w:eastAsia="Times New Roman"/>
          <w:b/>
          <w:spacing w:val="-10"/>
          <w:kern w:val="28"/>
          <w:sz w:val="32"/>
          <w:szCs w:val="56"/>
        </w:rPr>
      </w:pPr>
    </w:p>
    <w:p w14:paraId="5B6C62CE" w14:textId="67CEFAC4" w:rsidR="00781B6A" w:rsidRPr="00012786" w:rsidRDefault="00750950" w:rsidP="00123808">
      <w:pPr>
        <w:pStyle w:val="Affiliation"/>
        <w:rPr>
          <w:rFonts w:ascii="Times New Roman" w:hAnsi="Times New Roman"/>
        </w:rPr>
      </w:pPr>
      <w:bookmarkStart w:id="0" w:name="PutAuthorsHere"/>
      <w:r w:rsidRPr="00012786">
        <w:rPr>
          <w:rFonts w:ascii="Times New Roman" w:eastAsia="Times New Roman" w:hAnsi="Times New Roman"/>
          <w:b/>
          <w:spacing w:val="-10"/>
          <w:kern w:val="28"/>
          <w:sz w:val="32"/>
          <w:szCs w:val="56"/>
        </w:rPr>
        <w:t>Neutronic Analysis of the AP1000 Pressuri</w:t>
      </w:r>
      <w:r w:rsidR="00C45C0D" w:rsidRPr="00012786">
        <w:rPr>
          <w:rFonts w:ascii="Times New Roman" w:eastAsia="Times New Roman" w:hAnsi="Times New Roman"/>
          <w:b/>
          <w:spacing w:val="-10"/>
          <w:kern w:val="28"/>
          <w:sz w:val="32"/>
          <w:szCs w:val="56"/>
        </w:rPr>
        <w:t>z</w:t>
      </w:r>
      <w:r w:rsidRPr="00012786">
        <w:rPr>
          <w:rFonts w:ascii="Times New Roman" w:eastAsia="Times New Roman" w:hAnsi="Times New Roman"/>
          <w:b/>
          <w:spacing w:val="-10"/>
          <w:kern w:val="28"/>
          <w:sz w:val="32"/>
          <w:szCs w:val="56"/>
        </w:rPr>
        <w:t>ed Water Reactor</w:t>
      </w:r>
    </w:p>
    <w:p w14:paraId="68174F00" w14:textId="77777777" w:rsidR="00781B6A" w:rsidRPr="00012786" w:rsidRDefault="00781B6A">
      <w:pPr>
        <w:pStyle w:val="Affiliation"/>
        <w:jc w:val="both"/>
        <w:rPr>
          <w:rFonts w:ascii="Times New Roman" w:hAnsi="Times New Roman"/>
        </w:rPr>
      </w:pPr>
    </w:p>
    <w:p w14:paraId="145D4E4C" w14:textId="4B8D8D0F" w:rsidR="00A40847" w:rsidRPr="00A54F81" w:rsidRDefault="001E0FE8">
      <w:pPr>
        <w:pStyle w:val="Nagwek1"/>
        <w:rPr>
          <w:i w:val="0"/>
          <w:iCs w:val="0"/>
          <w:vertAlign w:val="superscript"/>
        </w:rPr>
      </w:pPr>
      <w:r w:rsidRPr="00A54F81">
        <w:rPr>
          <w:i w:val="0"/>
          <w:iCs w:val="0"/>
        </w:rPr>
        <w:t>Miko</w:t>
      </w:r>
      <w:r w:rsidR="00012786" w:rsidRPr="00A54F81">
        <w:rPr>
          <w:i w:val="0"/>
          <w:iCs w:val="0"/>
        </w:rPr>
        <w:t>l</w:t>
      </w:r>
      <w:r w:rsidRPr="00A54F81">
        <w:rPr>
          <w:i w:val="0"/>
          <w:iCs w:val="0"/>
        </w:rPr>
        <w:t>a</w:t>
      </w:r>
      <w:r w:rsidR="00012786" w:rsidRPr="00A54F81">
        <w:rPr>
          <w:i w:val="0"/>
          <w:iCs w:val="0"/>
        </w:rPr>
        <w:t>j</w:t>
      </w:r>
      <w:r w:rsidR="00A40847" w:rsidRPr="00A54F81">
        <w:rPr>
          <w:i w:val="0"/>
          <w:iCs w:val="0"/>
        </w:rPr>
        <w:t xml:space="preserve"> Brzezi</w:t>
      </w:r>
      <w:r w:rsidR="00041DE4" w:rsidRPr="00A54F81">
        <w:rPr>
          <w:i w:val="0"/>
          <w:iCs w:val="0"/>
        </w:rPr>
        <w:t>n</w:t>
      </w:r>
      <w:r w:rsidR="00A40847" w:rsidRPr="00A54F81">
        <w:rPr>
          <w:i w:val="0"/>
          <w:iCs w:val="0"/>
        </w:rPr>
        <w:t>ski</w:t>
      </w:r>
      <w:r w:rsidR="00473B8F" w:rsidRPr="00A54F81">
        <w:rPr>
          <w:i w:val="0"/>
          <w:iCs w:val="0"/>
          <w:vertAlign w:val="superscript"/>
        </w:rPr>
        <w:t>1</w:t>
      </w:r>
      <w:r w:rsidR="00A40847" w:rsidRPr="00A54F81">
        <w:rPr>
          <w:i w:val="0"/>
          <w:iCs w:val="0"/>
        </w:rPr>
        <w:t>, Jakub Sierchu</w:t>
      </w:r>
      <w:r w:rsidR="00F43F65" w:rsidRPr="00A54F81">
        <w:rPr>
          <w:i w:val="0"/>
          <w:iCs w:val="0"/>
        </w:rPr>
        <w:t>l</w:t>
      </w:r>
      <w:r w:rsidR="00A40847" w:rsidRPr="00A54F81">
        <w:rPr>
          <w:i w:val="0"/>
          <w:iCs w:val="0"/>
        </w:rPr>
        <w:t>a</w:t>
      </w:r>
      <w:r w:rsidR="000B5ADA" w:rsidRPr="00A54F81">
        <w:rPr>
          <w:i w:val="0"/>
          <w:iCs w:val="0"/>
          <w:vertAlign w:val="superscript"/>
        </w:rPr>
        <w:t>1,2</w:t>
      </w:r>
    </w:p>
    <w:p w14:paraId="3CC6EB10" w14:textId="658D5593" w:rsidR="00781B6A" w:rsidRPr="00A54F81" w:rsidRDefault="00E15CB3">
      <w:pPr>
        <w:pStyle w:val="Nagwek1"/>
      </w:pPr>
      <w:r w:rsidRPr="00A54F81">
        <w:rPr>
          <w:vertAlign w:val="superscript"/>
        </w:rPr>
        <w:t>1</w:t>
      </w:r>
      <w:r w:rsidR="008C5014" w:rsidRPr="00A54F81">
        <w:t>Pozna</w:t>
      </w:r>
      <w:r w:rsidR="00012786" w:rsidRPr="00A54F81">
        <w:t>n</w:t>
      </w:r>
      <w:r w:rsidR="008C5014" w:rsidRPr="00A54F81">
        <w:t xml:space="preserve"> University of Technology</w:t>
      </w:r>
      <w:r w:rsidRPr="00A54F81">
        <w:t xml:space="preserve">, </w:t>
      </w:r>
      <w:r w:rsidR="007C01DB" w:rsidRPr="00A54F81">
        <w:rPr>
          <w:vertAlign w:val="superscript"/>
        </w:rPr>
        <w:t>2</w:t>
      </w:r>
      <w:r w:rsidR="00474343" w:rsidRPr="00A54F81">
        <w:t>National Centre for Nuclear Research in Poland</w:t>
      </w:r>
    </w:p>
    <w:p w14:paraId="4B350F72" w14:textId="6FB716A5" w:rsidR="002B7EE1" w:rsidRPr="003C6F28" w:rsidRDefault="002B7EE1">
      <w:pPr>
        <w:jc w:val="center"/>
        <w:rPr>
          <w:i/>
          <w:iCs/>
          <w:lang w:val="pl-PL"/>
        </w:rPr>
      </w:pPr>
      <w:r w:rsidRPr="00A54F81">
        <w:rPr>
          <w:i/>
          <w:iCs/>
          <w:lang w:val="pl-PL"/>
        </w:rPr>
        <w:t>Pozna</w:t>
      </w:r>
      <w:r w:rsidR="002D3D75" w:rsidRPr="00A54F81">
        <w:rPr>
          <w:i/>
          <w:iCs/>
          <w:lang w:val="pl-PL"/>
        </w:rPr>
        <w:t>n</w:t>
      </w:r>
      <w:r w:rsidRPr="00A54F81">
        <w:rPr>
          <w:i/>
          <w:iCs/>
          <w:lang w:val="pl-PL"/>
        </w:rPr>
        <w:t>, Poland</w:t>
      </w:r>
    </w:p>
    <w:p w14:paraId="1EADBCC0" w14:textId="38E372DE" w:rsidR="00781B6A" w:rsidRPr="003C6F28" w:rsidRDefault="00F30021">
      <w:pPr>
        <w:jc w:val="center"/>
        <w:rPr>
          <w:i/>
          <w:iCs/>
          <w:lang w:val="pl-PL"/>
        </w:rPr>
      </w:pPr>
      <w:r w:rsidRPr="003C6F28">
        <w:rPr>
          <w:i/>
          <w:iCs/>
          <w:lang w:val="pl-PL"/>
        </w:rPr>
        <w:t>mikolaj.brzezinski.144917@gmail.com</w:t>
      </w:r>
    </w:p>
    <w:p w14:paraId="0A2EE393" w14:textId="77777777" w:rsidR="00781B6A" w:rsidRPr="003C6F28" w:rsidRDefault="00781B6A">
      <w:pPr>
        <w:rPr>
          <w:lang w:val="pl-PL"/>
        </w:rPr>
      </w:pPr>
    </w:p>
    <w:p w14:paraId="6069492A" w14:textId="6554E6BC" w:rsidR="00910FB5" w:rsidRPr="00A371FD" w:rsidRDefault="00781B6A" w:rsidP="00891C89">
      <w:pPr>
        <w:pStyle w:val="Author"/>
        <w:ind w:left="1080" w:right="1080"/>
        <w:jc w:val="both"/>
        <w:rPr>
          <w:rFonts w:ascii="Times New Roman" w:hAnsi="Times New Roman"/>
          <w:bCs/>
          <w:sz w:val="22"/>
          <w:szCs w:val="22"/>
        </w:rPr>
      </w:pPr>
      <w:r w:rsidRPr="00A371FD">
        <w:rPr>
          <w:rFonts w:ascii="Times New Roman" w:hAnsi="Times New Roman"/>
          <w:bCs/>
          <w:sz w:val="22"/>
          <w:szCs w:val="22"/>
        </w:rPr>
        <w:t xml:space="preserve">Abstract </w:t>
      </w:r>
    </w:p>
    <w:p w14:paraId="43DD3F5E" w14:textId="5E4061B2" w:rsidR="00781B6A" w:rsidRPr="00C45C0D" w:rsidRDefault="00B32635" w:rsidP="00891C89">
      <w:pPr>
        <w:pStyle w:val="Author"/>
        <w:ind w:left="1080" w:right="1080"/>
        <w:jc w:val="both"/>
        <w:rPr>
          <w:rFonts w:ascii="Times New Roman" w:hAnsi="Times New Roman"/>
          <w:b w:val="0"/>
          <w:bCs/>
          <w:i/>
          <w:iCs/>
          <w:sz w:val="22"/>
          <w:szCs w:val="22"/>
        </w:rPr>
      </w:pPr>
      <w:r w:rsidRPr="00A371FD">
        <w:rPr>
          <w:rFonts w:ascii="Times New Roman" w:hAnsi="Times New Roman"/>
          <w:b w:val="0"/>
          <w:bCs/>
          <w:i/>
          <w:iCs/>
          <w:sz w:val="22"/>
          <w:szCs w:val="22"/>
        </w:rPr>
        <w:t xml:space="preserve">The purpose of this paper is to present the neutronic analysis of the AP1000 reactor prepared by using </w:t>
      </w:r>
      <w:r w:rsidR="001E0FE8" w:rsidRPr="00A371FD">
        <w:rPr>
          <w:rFonts w:ascii="Times New Roman" w:hAnsi="Times New Roman"/>
          <w:b w:val="0"/>
          <w:bCs/>
          <w:i/>
          <w:iCs/>
          <w:sz w:val="22"/>
          <w:szCs w:val="22"/>
        </w:rPr>
        <w:t>Open</w:t>
      </w:r>
      <w:r w:rsidR="00AF7008" w:rsidRPr="00A371FD">
        <w:rPr>
          <w:rFonts w:ascii="Times New Roman" w:hAnsi="Times New Roman"/>
          <w:b w:val="0"/>
          <w:bCs/>
          <w:i/>
          <w:iCs/>
          <w:sz w:val="22"/>
          <w:szCs w:val="22"/>
        </w:rPr>
        <w:t>M</w:t>
      </w:r>
      <w:r w:rsidR="001E0FE8" w:rsidRPr="00A371FD">
        <w:rPr>
          <w:rFonts w:ascii="Times New Roman" w:hAnsi="Times New Roman"/>
          <w:b w:val="0"/>
          <w:bCs/>
          <w:i/>
          <w:iCs/>
          <w:sz w:val="22"/>
          <w:szCs w:val="22"/>
        </w:rPr>
        <w:t>C</w:t>
      </w:r>
      <w:r w:rsidRPr="00A371FD">
        <w:rPr>
          <w:rFonts w:ascii="Times New Roman" w:hAnsi="Times New Roman"/>
          <w:b w:val="0"/>
          <w:bCs/>
          <w:i/>
          <w:iCs/>
          <w:sz w:val="22"/>
          <w:szCs w:val="22"/>
        </w:rPr>
        <w:t xml:space="preserve"> code. The principle of the code mentioned above is based on the Monte Carlo method</w:t>
      </w:r>
      <w:r w:rsidR="001E0FE8" w:rsidRPr="00A371FD">
        <w:rPr>
          <w:rFonts w:ascii="Times New Roman" w:hAnsi="Times New Roman"/>
          <w:b w:val="0"/>
          <w:bCs/>
          <w:i/>
          <w:iCs/>
          <w:sz w:val="22"/>
          <w:szCs w:val="22"/>
        </w:rPr>
        <w:t>s</w:t>
      </w:r>
      <w:r w:rsidRPr="00A371FD">
        <w:rPr>
          <w:rFonts w:ascii="Times New Roman" w:hAnsi="Times New Roman"/>
          <w:b w:val="0"/>
          <w:bCs/>
          <w:i/>
          <w:iCs/>
          <w:sz w:val="22"/>
          <w:szCs w:val="22"/>
        </w:rPr>
        <w:t>. Research include</w:t>
      </w:r>
      <w:r w:rsidR="001E0FE8" w:rsidRPr="00A371FD">
        <w:rPr>
          <w:rFonts w:ascii="Times New Roman" w:hAnsi="Times New Roman"/>
          <w:b w:val="0"/>
          <w:bCs/>
          <w:i/>
          <w:iCs/>
          <w:sz w:val="22"/>
          <w:szCs w:val="22"/>
        </w:rPr>
        <w:t>d</w:t>
      </w:r>
      <w:r w:rsidRPr="00A371FD">
        <w:rPr>
          <w:rFonts w:ascii="Times New Roman" w:hAnsi="Times New Roman"/>
          <w:b w:val="0"/>
          <w:bCs/>
          <w:i/>
          <w:iCs/>
          <w:sz w:val="22"/>
          <w:szCs w:val="22"/>
        </w:rPr>
        <w:t xml:space="preserve"> </w:t>
      </w:r>
      <w:r w:rsidR="001E0FE8" w:rsidRPr="00A371FD">
        <w:rPr>
          <w:rFonts w:ascii="Times New Roman" w:hAnsi="Times New Roman"/>
          <w:b w:val="0"/>
          <w:bCs/>
          <w:i/>
          <w:iCs/>
          <w:sz w:val="22"/>
          <w:szCs w:val="22"/>
        </w:rPr>
        <w:t>determining</w:t>
      </w:r>
      <w:r w:rsidRPr="00A371FD">
        <w:rPr>
          <w:rFonts w:ascii="Times New Roman" w:hAnsi="Times New Roman"/>
          <w:b w:val="0"/>
          <w:bCs/>
          <w:i/>
          <w:iCs/>
          <w:sz w:val="22"/>
          <w:szCs w:val="22"/>
        </w:rPr>
        <w:t xml:space="preserve"> </w:t>
      </w:r>
      <w:r w:rsidRPr="00C45C0D">
        <w:rPr>
          <w:rFonts w:ascii="Times New Roman" w:hAnsi="Times New Roman"/>
          <w:b w:val="0"/>
          <w:bCs/>
          <w:i/>
          <w:iCs/>
          <w:sz w:val="22"/>
          <w:szCs w:val="22"/>
        </w:rPr>
        <w:t xml:space="preserve">the </w:t>
      </w:r>
      <w:r w:rsidR="0015058F" w:rsidRPr="00C45C0D">
        <w:rPr>
          <w:rFonts w:ascii="Times New Roman" w:hAnsi="Times New Roman"/>
          <w:b w:val="0"/>
          <w:bCs/>
          <w:i/>
          <w:iCs/>
          <w:sz w:val="22"/>
          <w:szCs w:val="22"/>
        </w:rPr>
        <w:t xml:space="preserve">neutron effective </w:t>
      </w:r>
      <w:r w:rsidRPr="00C45C0D">
        <w:rPr>
          <w:rFonts w:ascii="Times New Roman" w:hAnsi="Times New Roman"/>
          <w:b w:val="0"/>
          <w:bCs/>
          <w:i/>
          <w:iCs/>
          <w:sz w:val="22"/>
          <w:szCs w:val="22"/>
        </w:rPr>
        <w:t>multiplication factor, analy</w:t>
      </w:r>
      <w:r w:rsidR="00C45C0D">
        <w:rPr>
          <w:rFonts w:ascii="Times New Roman" w:hAnsi="Times New Roman"/>
          <w:b w:val="0"/>
          <w:bCs/>
          <w:i/>
          <w:iCs/>
          <w:sz w:val="22"/>
          <w:szCs w:val="22"/>
        </w:rPr>
        <w:t>z</w:t>
      </w:r>
      <w:r w:rsidRPr="00C45C0D">
        <w:rPr>
          <w:rFonts w:ascii="Times New Roman" w:hAnsi="Times New Roman"/>
          <w:b w:val="0"/>
          <w:bCs/>
          <w:i/>
          <w:iCs/>
          <w:sz w:val="22"/>
          <w:szCs w:val="22"/>
        </w:rPr>
        <w:t>i</w:t>
      </w:r>
      <w:r w:rsidR="001E0FE8" w:rsidRPr="00C45C0D">
        <w:rPr>
          <w:rFonts w:ascii="Times New Roman" w:hAnsi="Times New Roman"/>
          <w:b w:val="0"/>
          <w:bCs/>
          <w:i/>
          <w:iCs/>
          <w:sz w:val="22"/>
          <w:szCs w:val="22"/>
        </w:rPr>
        <w:t>ng</w:t>
      </w:r>
      <w:r w:rsidRPr="00C45C0D">
        <w:rPr>
          <w:rFonts w:ascii="Times New Roman" w:hAnsi="Times New Roman"/>
          <w:b w:val="0"/>
          <w:bCs/>
          <w:i/>
          <w:iCs/>
          <w:sz w:val="22"/>
          <w:szCs w:val="22"/>
        </w:rPr>
        <w:t xml:space="preserve"> of the </w:t>
      </w:r>
      <w:r w:rsidR="001E0FE8" w:rsidRPr="00C45C0D">
        <w:rPr>
          <w:rFonts w:ascii="Times New Roman" w:hAnsi="Times New Roman"/>
          <w:b w:val="0"/>
          <w:bCs/>
          <w:i/>
          <w:iCs/>
          <w:sz w:val="22"/>
          <w:szCs w:val="22"/>
        </w:rPr>
        <w:t xml:space="preserve">evolution of </w:t>
      </w:r>
      <w:r w:rsidRPr="00C45C0D">
        <w:rPr>
          <w:rFonts w:ascii="Times New Roman" w:hAnsi="Times New Roman"/>
          <w:b w:val="0"/>
          <w:bCs/>
          <w:i/>
          <w:iCs/>
          <w:sz w:val="22"/>
          <w:szCs w:val="22"/>
        </w:rPr>
        <w:t>fuel composition during</w:t>
      </w:r>
      <w:r w:rsidR="001E0FE8" w:rsidRPr="00C45C0D">
        <w:rPr>
          <w:rFonts w:ascii="Times New Roman" w:hAnsi="Times New Roman"/>
          <w:b w:val="0"/>
          <w:bCs/>
          <w:i/>
          <w:iCs/>
          <w:sz w:val="22"/>
          <w:szCs w:val="22"/>
        </w:rPr>
        <w:t xml:space="preserve"> the</w:t>
      </w:r>
      <w:r w:rsidRPr="00C45C0D">
        <w:rPr>
          <w:rFonts w:ascii="Times New Roman" w:hAnsi="Times New Roman"/>
          <w:b w:val="0"/>
          <w:bCs/>
          <w:i/>
          <w:iCs/>
          <w:sz w:val="22"/>
          <w:szCs w:val="22"/>
        </w:rPr>
        <w:t xml:space="preserve"> reactor</w:t>
      </w:r>
      <w:r w:rsidR="001E0FE8" w:rsidRPr="00C45C0D">
        <w:rPr>
          <w:rFonts w:ascii="Times New Roman" w:hAnsi="Times New Roman"/>
          <w:b w:val="0"/>
          <w:bCs/>
          <w:i/>
          <w:iCs/>
          <w:sz w:val="22"/>
          <w:szCs w:val="22"/>
        </w:rPr>
        <w:t>’s</w:t>
      </w:r>
      <w:r w:rsidRPr="00C45C0D">
        <w:rPr>
          <w:rFonts w:ascii="Times New Roman" w:hAnsi="Times New Roman"/>
          <w:b w:val="0"/>
          <w:bCs/>
          <w:i/>
          <w:iCs/>
          <w:sz w:val="22"/>
          <w:szCs w:val="22"/>
        </w:rPr>
        <w:t xml:space="preserve"> operation, and verifying the effect</w:t>
      </w:r>
      <w:r w:rsidR="001E0FE8" w:rsidRPr="00C45C0D">
        <w:rPr>
          <w:rFonts w:ascii="Times New Roman" w:hAnsi="Times New Roman"/>
          <w:b w:val="0"/>
          <w:bCs/>
          <w:i/>
          <w:iCs/>
          <w:sz w:val="22"/>
          <w:szCs w:val="22"/>
        </w:rPr>
        <w:t>s</w:t>
      </w:r>
      <w:r w:rsidRPr="00C45C0D">
        <w:rPr>
          <w:rFonts w:ascii="Times New Roman" w:hAnsi="Times New Roman"/>
          <w:b w:val="0"/>
          <w:bCs/>
          <w:i/>
          <w:iCs/>
          <w:sz w:val="22"/>
          <w:szCs w:val="22"/>
        </w:rPr>
        <w:t xml:space="preserve"> of the boric acid in the coolant based on the parameters mentioned above. The final part of the paper is a summary which includes the conclusion of the</w:t>
      </w:r>
      <w:r w:rsidR="001E0FE8" w:rsidRPr="00C45C0D">
        <w:rPr>
          <w:rFonts w:ascii="Times New Roman" w:hAnsi="Times New Roman"/>
          <w:b w:val="0"/>
          <w:bCs/>
          <w:i/>
          <w:iCs/>
          <w:sz w:val="22"/>
          <w:szCs w:val="22"/>
        </w:rPr>
        <w:t xml:space="preserve"> analysis</w:t>
      </w:r>
      <w:r w:rsidRPr="00C45C0D">
        <w:rPr>
          <w:rFonts w:ascii="Times New Roman" w:hAnsi="Times New Roman"/>
          <w:b w:val="0"/>
          <w:bCs/>
          <w:i/>
          <w:iCs/>
          <w:sz w:val="22"/>
          <w:szCs w:val="22"/>
        </w:rPr>
        <w:t xml:space="preserve">. The experiments confirmed the effectiveness of using </w:t>
      </w:r>
      <w:r w:rsidR="001E0FE8" w:rsidRPr="00C45C0D">
        <w:rPr>
          <w:rFonts w:ascii="Times New Roman" w:hAnsi="Times New Roman"/>
          <w:b w:val="0"/>
          <w:bCs/>
          <w:i/>
          <w:iCs/>
          <w:sz w:val="22"/>
          <w:szCs w:val="22"/>
        </w:rPr>
        <w:t>Open</w:t>
      </w:r>
      <w:r w:rsidR="00AF7008" w:rsidRPr="00A371FD">
        <w:rPr>
          <w:rFonts w:ascii="Times New Roman" w:hAnsi="Times New Roman"/>
          <w:b w:val="0"/>
          <w:bCs/>
          <w:i/>
          <w:iCs/>
          <w:sz w:val="22"/>
          <w:szCs w:val="22"/>
        </w:rPr>
        <w:t>MC</w:t>
      </w:r>
      <w:r w:rsidRPr="00C45C0D">
        <w:rPr>
          <w:rFonts w:ascii="Times New Roman" w:hAnsi="Times New Roman"/>
          <w:b w:val="0"/>
          <w:bCs/>
          <w:i/>
          <w:iCs/>
          <w:sz w:val="22"/>
          <w:szCs w:val="22"/>
        </w:rPr>
        <w:t xml:space="preserve"> code for similar neutron-physics analyses.</w:t>
      </w:r>
      <w:r w:rsidR="00CB2289" w:rsidRPr="00C45C0D">
        <w:rPr>
          <w:rFonts w:ascii="Times New Roman" w:hAnsi="Times New Roman"/>
          <w:b w:val="0"/>
          <w:bCs/>
          <w:i/>
          <w:iCs/>
          <w:sz w:val="22"/>
          <w:szCs w:val="22"/>
        </w:rPr>
        <w:t xml:space="preserve"> </w:t>
      </w:r>
      <w:r w:rsidR="00AF7008" w:rsidRPr="00A371FD">
        <w:rPr>
          <w:rFonts w:ascii="Times New Roman" w:hAnsi="Times New Roman"/>
          <w:b w:val="0"/>
          <w:bCs/>
          <w:i/>
          <w:iCs/>
          <w:sz w:val="22"/>
          <w:szCs w:val="22"/>
        </w:rPr>
        <w:t>The y</w:t>
      </w:r>
      <w:r w:rsidRPr="00C45C0D">
        <w:rPr>
          <w:rFonts w:ascii="Times New Roman" w:hAnsi="Times New Roman"/>
          <w:b w:val="0"/>
          <w:bCs/>
          <w:i/>
          <w:iCs/>
          <w:sz w:val="22"/>
          <w:szCs w:val="22"/>
        </w:rPr>
        <w:t>ielded results overlap with experimental and literature data</w:t>
      </w:r>
      <w:r w:rsidR="001E0FE8" w:rsidRPr="00C45C0D">
        <w:rPr>
          <w:rFonts w:ascii="Times New Roman" w:hAnsi="Times New Roman"/>
          <w:b w:val="0"/>
          <w:bCs/>
          <w:i/>
          <w:iCs/>
          <w:sz w:val="22"/>
          <w:szCs w:val="22"/>
        </w:rPr>
        <w:t xml:space="preserve">, indicating that </w:t>
      </w:r>
      <w:r w:rsidRPr="00C45C0D">
        <w:rPr>
          <w:rFonts w:ascii="Times New Roman" w:hAnsi="Times New Roman"/>
          <w:b w:val="0"/>
          <w:bCs/>
          <w:i/>
          <w:iCs/>
          <w:sz w:val="22"/>
          <w:szCs w:val="22"/>
        </w:rPr>
        <w:t>a high level of consistency has been achieved.</w:t>
      </w:r>
    </w:p>
    <w:p w14:paraId="0ED2895C" w14:textId="77777777" w:rsidR="00514AC8" w:rsidRPr="00C45C0D" w:rsidRDefault="00514AC8" w:rsidP="00514AC8">
      <w:pPr>
        <w:pStyle w:val="Affiliation"/>
        <w:jc w:val="left"/>
        <w:rPr>
          <w:rFonts w:ascii="Times New Roman" w:hAnsi="Times New Roman"/>
          <w:b/>
          <w:bCs/>
          <w:sz w:val="22"/>
          <w:szCs w:val="22"/>
        </w:rPr>
      </w:pPr>
    </w:p>
    <w:p w14:paraId="11B06446" w14:textId="349D52E2" w:rsidR="00514AC8" w:rsidRPr="00C45C0D" w:rsidRDefault="00514AC8" w:rsidP="00514AC8">
      <w:pPr>
        <w:pStyle w:val="Affiliation"/>
        <w:ind w:firstLine="1080"/>
        <w:jc w:val="left"/>
        <w:rPr>
          <w:sz w:val="22"/>
          <w:szCs w:val="22"/>
        </w:rPr>
      </w:pPr>
      <w:r w:rsidRPr="00C45C0D">
        <w:rPr>
          <w:rFonts w:ascii="Times New Roman" w:hAnsi="Times New Roman"/>
          <w:b/>
          <w:bCs/>
          <w:sz w:val="22"/>
          <w:szCs w:val="22"/>
        </w:rPr>
        <w:t xml:space="preserve">Keywords: </w:t>
      </w:r>
      <w:r w:rsidR="00F90DDC" w:rsidRPr="00C45C0D">
        <w:rPr>
          <w:rFonts w:ascii="Times New Roman" w:hAnsi="Times New Roman"/>
          <w:sz w:val="22"/>
          <w:szCs w:val="22"/>
        </w:rPr>
        <w:t>AP1000, PWR, OpenMC, Neutronic Analysis, Monte Carlo</w:t>
      </w:r>
    </w:p>
    <w:p w14:paraId="11B547DB" w14:textId="77777777" w:rsidR="00781B6A" w:rsidRPr="00C45C0D" w:rsidRDefault="00781B6A" w:rsidP="001602BC">
      <w:pPr>
        <w:pStyle w:val="Affiliation"/>
        <w:jc w:val="both"/>
      </w:pPr>
    </w:p>
    <w:bookmarkEnd w:id="0"/>
    <w:p w14:paraId="7292617D" w14:textId="77777777" w:rsidR="00781B6A" w:rsidRPr="00C45C0D" w:rsidRDefault="00781B6A">
      <w:pPr>
        <w:pStyle w:val="Nagwek"/>
        <w:rPr>
          <w:sz w:val="22"/>
          <w:szCs w:val="22"/>
        </w:rPr>
        <w:sectPr w:rsidR="00781B6A" w:rsidRPr="00C45C0D">
          <w:headerReference w:type="default" r:id="rId11"/>
          <w:footerReference w:type="default" r:id="rId12"/>
          <w:type w:val="continuous"/>
          <w:pgSz w:w="12240" w:h="15840"/>
          <w:pgMar w:top="1440" w:right="1080" w:bottom="1440" w:left="1080" w:header="432" w:footer="720" w:gutter="0"/>
          <w:cols w:space="720"/>
        </w:sectPr>
      </w:pPr>
    </w:p>
    <w:p w14:paraId="74B2FCCE" w14:textId="7E3F3D05" w:rsidR="00781B6A" w:rsidRPr="00A371FD" w:rsidRDefault="00781B6A" w:rsidP="00E93F48">
      <w:pPr>
        <w:pStyle w:val="AbstractClauseTitle"/>
        <w:jc w:val="left"/>
        <w:rPr>
          <w:rFonts w:ascii="Times New Roman" w:hAnsi="Times New Roman"/>
          <w:sz w:val="22"/>
          <w:szCs w:val="22"/>
        </w:rPr>
      </w:pPr>
      <w:r w:rsidRPr="00A371FD">
        <w:rPr>
          <w:rFonts w:ascii="Times New Roman" w:hAnsi="Times New Roman"/>
          <w:sz w:val="22"/>
          <w:szCs w:val="22"/>
        </w:rPr>
        <w:t xml:space="preserve">I. </w:t>
      </w:r>
      <w:r w:rsidR="00E93F48" w:rsidRPr="00A371FD">
        <w:rPr>
          <w:rFonts w:ascii="Times New Roman" w:hAnsi="Times New Roman"/>
          <w:caps w:val="0"/>
          <w:sz w:val="22"/>
          <w:szCs w:val="22"/>
        </w:rPr>
        <w:t>Introduction</w:t>
      </w:r>
    </w:p>
    <w:p w14:paraId="1199698B" w14:textId="77777777" w:rsidR="00781B6A" w:rsidRPr="00A371FD" w:rsidRDefault="00781B6A">
      <w:pPr>
        <w:pStyle w:val="Tekstpodstawowywcity"/>
        <w:rPr>
          <w:sz w:val="22"/>
          <w:szCs w:val="22"/>
        </w:rPr>
      </w:pPr>
    </w:p>
    <w:p w14:paraId="6D88C77E" w14:textId="41586971" w:rsidR="00AF7008" w:rsidRPr="00A371FD" w:rsidRDefault="00437294" w:rsidP="001E0FE8">
      <w:pPr>
        <w:pStyle w:val="Tekstpodstawowywcity"/>
        <w:ind w:firstLine="0"/>
        <w:rPr>
          <w:sz w:val="22"/>
          <w:szCs w:val="22"/>
        </w:rPr>
      </w:pPr>
      <w:r w:rsidRPr="00A371FD">
        <w:rPr>
          <w:sz w:val="22"/>
          <w:szCs w:val="22"/>
        </w:rPr>
        <w:t xml:space="preserve">By the end of 2021, 437 nuclear power reactors were </w:t>
      </w:r>
      <w:r w:rsidR="001E0FE8" w:rsidRPr="00A371FD">
        <w:rPr>
          <w:sz w:val="22"/>
          <w:szCs w:val="22"/>
        </w:rPr>
        <w:t xml:space="preserve">online </w:t>
      </w:r>
      <w:r w:rsidRPr="00A371FD">
        <w:rPr>
          <w:sz w:val="22"/>
          <w:szCs w:val="22"/>
        </w:rPr>
        <w:t xml:space="preserve">in 32 </w:t>
      </w:r>
      <w:r w:rsidR="001E0FE8" w:rsidRPr="00A371FD">
        <w:rPr>
          <w:sz w:val="22"/>
          <w:szCs w:val="22"/>
        </w:rPr>
        <w:t xml:space="preserve">different </w:t>
      </w:r>
      <w:r w:rsidRPr="00A371FD">
        <w:rPr>
          <w:sz w:val="22"/>
          <w:szCs w:val="22"/>
        </w:rPr>
        <w:t xml:space="preserve">countries around the world. Among them, Light Water Reactors (LWRs) </w:t>
      </w:r>
      <w:r w:rsidR="001E0FE8" w:rsidRPr="00A371FD">
        <w:rPr>
          <w:sz w:val="22"/>
          <w:szCs w:val="22"/>
        </w:rPr>
        <w:t xml:space="preserve">constituted </w:t>
      </w:r>
      <w:r w:rsidRPr="00A371FD">
        <w:rPr>
          <w:sz w:val="22"/>
          <w:szCs w:val="22"/>
        </w:rPr>
        <w:t xml:space="preserve">the largest group, with a total number of 375 units. </w:t>
      </w:r>
      <w:r w:rsidR="003203B8" w:rsidRPr="00A371FD">
        <w:rPr>
          <w:sz w:val="22"/>
          <w:szCs w:val="22"/>
        </w:rPr>
        <w:t>Those</w:t>
      </w:r>
      <w:r w:rsidRPr="00A371FD">
        <w:rPr>
          <w:sz w:val="22"/>
          <w:szCs w:val="22"/>
        </w:rPr>
        <w:t xml:space="preserve"> </w:t>
      </w:r>
      <w:r w:rsidR="001E0FE8" w:rsidRPr="00A371FD">
        <w:rPr>
          <w:sz w:val="22"/>
          <w:szCs w:val="22"/>
        </w:rPr>
        <w:t>can be further</w:t>
      </w:r>
      <w:r w:rsidR="003203B8" w:rsidRPr="00A371FD">
        <w:rPr>
          <w:sz w:val="22"/>
          <w:szCs w:val="22"/>
        </w:rPr>
        <w:t xml:space="preserve"> divided into</w:t>
      </w:r>
      <w:r w:rsidR="001E0FE8" w:rsidRPr="00A371FD">
        <w:rPr>
          <w:sz w:val="22"/>
          <w:szCs w:val="22"/>
        </w:rPr>
        <w:t xml:space="preserve"> </w:t>
      </w:r>
      <w:r w:rsidRPr="00A371FD">
        <w:rPr>
          <w:sz w:val="22"/>
          <w:szCs w:val="22"/>
        </w:rPr>
        <w:t xml:space="preserve">of 303 Pressurized Water Reactors (PWRs), 61 Boiling Water Reactors (BWRs), and 11 Light Water Graphite Reactors (LWGRs) [1]. </w:t>
      </w:r>
    </w:p>
    <w:p w14:paraId="4896CB7D" w14:textId="4F562E14" w:rsidR="00F0662E" w:rsidRPr="00A371FD" w:rsidRDefault="00437294" w:rsidP="00AF7008">
      <w:pPr>
        <w:pStyle w:val="Tekstpodstawowywcity"/>
        <w:rPr>
          <w:sz w:val="22"/>
          <w:szCs w:val="22"/>
        </w:rPr>
      </w:pPr>
      <w:r w:rsidRPr="00A371FD">
        <w:rPr>
          <w:sz w:val="22"/>
          <w:szCs w:val="22"/>
        </w:rPr>
        <w:t>Current pressuri</w:t>
      </w:r>
      <w:r w:rsidR="00C45C0D">
        <w:rPr>
          <w:sz w:val="22"/>
          <w:szCs w:val="22"/>
        </w:rPr>
        <w:t>z</w:t>
      </w:r>
      <w:r w:rsidRPr="00A371FD">
        <w:rPr>
          <w:sz w:val="22"/>
          <w:szCs w:val="22"/>
        </w:rPr>
        <w:t>ed water reactor technologies, offered by various companies around the world, can differ from each other in terms of the implemented technical</w:t>
      </w:r>
      <w:r w:rsidR="000E6258">
        <w:rPr>
          <w:sz w:val="22"/>
          <w:szCs w:val="22"/>
        </w:rPr>
        <w:t xml:space="preserve"> </w:t>
      </w:r>
      <w:r w:rsidRPr="00A371FD">
        <w:rPr>
          <w:sz w:val="22"/>
          <w:szCs w:val="22"/>
        </w:rPr>
        <w:t>solutions.</w:t>
      </w:r>
      <w:r w:rsidR="003E77A0" w:rsidRPr="00A371FD">
        <w:rPr>
          <w:sz w:val="22"/>
          <w:szCs w:val="22"/>
        </w:rPr>
        <w:t xml:space="preserve"> </w:t>
      </w:r>
      <w:r w:rsidR="003203B8" w:rsidRPr="00A371FD">
        <w:rPr>
          <w:sz w:val="22"/>
          <w:szCs w:val="22"/>
        </w:rPr>
        <w:t>However, d</w:t>
      </w:r>
      <w:r w:rsidRPr="00C45C0D">
        <w:rPr>
          <w:sz w:val="22"/>
          <w:szCs w:val="22"/>
        </w:rPr>
        <w:t xml:space="preserve">espite </w:t>
      </w:r>
      <w:r w:rsidR="003203B8" w:rsidRPr="003C6F28">
        <w:rPr>
          <w:sz w:val="22"/>
          <w:szCs w:val="22"/>
        </w:rPr>
        <w:t>design</w:t>
      </w:r>
      <w:r w:rsidRPr="00C45C0D">
        <w:rPr>
          <w:sz w:val="22"/>
          <w:szCs w:val="22"/>
        </w:rPr>
        <w:t xml:space="preserve"> differences, PWRs share a lot of common </w:t>
      </w:r>
      <w:r w:rsidR="009512C8" w:rsidRPr="00C45C0D">
        <w:rPr>
          <w:sz w:val="22"/>
          <w:szCs w:val="22"/>
        </w:rPr>
        <w:t>features</w:t>
      </w:r>
      <w:r w:rsidR="003203B8" w:rsidRPr="003C6F28">
        <w:rPr>
          <w:sz w:val="22"/>
          <w:szCs w:val="22"/>
        </w:rPr>
        <w:t>, o</w:t>
      </w:r>
      <w:r w:rsidRPr="00C45C0D">
        <w:rPr>
          <w:sz w:val="22"/>
          <w:szCs w:val="22"/>
        </w:rPr>
        <w:t xml:space="preserve">ne of </w:t>
      </w:r>
      <w:r w:rsidR="003203B8" w:rsidRPr="00A371FD">
        <w:rPr>
          <w:sz w:val="22"/>
          <w:szCs w:val="22"/>
        </w:rPr>
        <w:t xml:space="preserve">which </w:t>
      </w:r>
      <w:r w:rsidRPr="00A371FD">
        <w:rPr>
          <w:sz w:val="22"/>
          <w:szCs w:val="22"/>
        </w:rPr>
        <w:t xml:space="preserve">is the lack of coolant boiling in the primary circuit. This is achieved </w:t>
      </w:r>
      <w:r w:rsidR="003203B8" w:rsidRPr="00A371FD">
        <w:rPr>
          <w:sz w:val="22"/>
          <w:szCs w:val="22"/>
        </w:rPr>
        <w:t>by using</w:t>
      </w:r>
      <w:r w:rsidRPr="00A371FD">
        <w:rPr>
          <w:sz w:val="22"/>
          <w:szCs w:val="22"/>
        </w:rPr>
        <w:t xml:space="preserve"> </w:t>
      </w:r>
      <w:r w:rsidR="009512C8" w:rsidRPr="00A371FD">
        <w:rPr>
          <w:sz w:val="22"/>
          <w:szCs w:val="22"/>
        </w:rPr>
        <w:t xml:space="preserve">a </w:t>
      </w:r>
      <w:r w:rsidRPr="00A371FD">
        <w:rPr>
          <w:sz w:val="22"/>
          <w:szCs w:val="22"/>
        </w:rPr>
        <w:t>pressuri</w:t>
      </w:r>
      <w:r w:rsidR="00C45C0D">
        <w:rPr>
          <w:sz w:val="22"/>
          <w:szCs w:val="22"/>
        </w:rPr>
        <w:t>z</w:t>
      </w:r>
      <w:r w:rsidRPr="00C45C0D">
        <w:rPr>
          <w:sz w:val="22"/>
          <w:szCs w:val="22"/>
        </w:rPr>
        <w:t xml:space="preserve">er that keeps the pressure within a fixed range. </w:t>
      </w:r>
      <w:r w:rsidR="003203B8" w:rsidRPr="00A371FD">
        <w:rPr>
          <w:sz w:val="22"/>
          <w:szCs w:val="22"/>
        </w:rPr>
        <w:t>To</w:t>
      </w:r>
      <w:r w:rsidRPr="00A371FD">
        <w:rPr>
          <w:sz w:val="22"/>
          <w:szCs w:val="22"/>
        </w:rPr>
        <w:t xml:space="preserve"> ensure that there is no water boiling in the pressure vessel, a</w:t>
      </w:r>
      <w:r w:rsidR="00CB43A6" w:rsidRPr="00A371FD">
        <w:rPr>
          <w:sz w:val="22"/>
          <w:szCs w:val="22"/>
        </w:rPr>
        <w:t> </w:t>
      </w:r>
      <w:r w:rsidRPr="00A371FD">
        <w:rPr>
          <w:sz w:val="22"/>
          <w:szCs w:val="22"/>
        </w:rPr>
        <w:t xml:space="preserve">high pressure of approximately 16 MPa is needed. Another </w:t>
      </w:r>
      <w:r w:rsidR="003203B8" w:rsidRPr="00A371FD">
        <w:rPr>
          <w:sz w:val="22"/>
          <w:szCs w:val="22"/>
        </w:rPr>
        <w:t xml:space="preserve">shared </w:t>
      </w:r>
      <w:r w:rsidR="009512C8" w:rsidRPr="00A371FD">
        <w:rPr>
          <w:sz w:val="22"/>
          <w:szCs w:val="22"/>
        </w:rPr>
        <w:t>feature</w:t>
      </w:r>
      <w:r w:rsidRPr="00A371FD">
        <w:rPr>
          <w:sz w:val="22"/>
          <w:szCs w:val="22"/>
        </w:rPr>
        <w:t xml:space="preserve"> of PWR units is that the primary and secondary </w:t>
      </w:r>
      <w:r w:rsidR="008252EB">
        <w:rPr>
          <w:sz w:val="22"/>
          <w:szCs w:val="22"/>
        </w:rPr>
        <w:t>loops</w:t>
      </w:r>
      <w:r w:rsidR="008252EB" w:rsidRPr="00A371FD">
        <w:rPr>
          <w:sz w:val="22"/>
          <w:szCs w:val="22"/>
        </w:rPr>
        <w:t xml:space="preserve"> </w:t>
      </w:r>
      <w:r w:rsidRPr="00A371FD">
        <w:rPr>
          <w:sz w:val="22"/>
          <w:szCs w:val="22"/>
        </w:rPr>
        <w:t xml:space="preserve">are physically separated from each other </w:t>
      </w:r>
      <w:r w:rsidR="003203B8" w:rsidRPr="00A371FD">
        <w:rPr>
          <w:sz w:val="22"/>
          <w:szCs w:val="22"/>
        </w:rPr>
        <w:t>to</w:t>
      </w:r>
      <w:r w:rsidRPr="00A371FD">
        <w:rPr>
          <w:sz w:val="22"/>
          <w:szCs w:val="22"/>
        </w:rPr>
        <w:t xml:space="preserve"> prevent mixing of the </w:t>
      </w:r>
      <w:r w:rsidR="00B57B18" w:rsidRPr="00A371FD">
        <w:rPr>
          <w:sz w:val="22"/>
          <w:szCs w:val="22"/>
        </w:rPr>
        <w:t>coolant</w:t>
      </w:r>
      <w:r w:rsidRPr="00A371FD">
        <w:rPr>
          <w:sz w:val="22"/>
          <w:szCs w:val="22"/>
        </w:rPr>
        <w:t xml:space="preserve"> flowing through the reactor with the feed water. In the event of</w:t>
      </w:r>
      <w:r w:rsidR="00673635" w:rsidRPr="00A371FD">
        <w:rPr>
          <w:sz w:val="22"/>
          <w:szCs w:val="22"/>
        </w:rPr>
        <w:t> </w:t>
      </w:r>
      <w:r w:rsidRPr="00A371FD">
        <w:rPr>
          <w:sz w:val="22"/>
          <w:szCs w:val="22"/>
        </w:rPr>
        <w:t>an</w:t>
      </w:r>
      <w:r w:rsidR="008E3E0A" w:rsidRPr="00A371FD">
        <w:rPr>
          <w:sz w:val="22"/>
          <w:szCs w:val="22"/>
        </w:rPr>
        <w:t xml:space="preserve"> </w:t>
      </w:r>
      <w:r w:rsidRPr="00A371FD">
        <w:rPr>
          <w:sz w:val="22"/>
          <w:szCs w:val="22"/>
        </w:rPr>
        <w:t xml:space="preserve">accident, this type of design </w:t>
      </w:r>
      <w:r w:rsidR="003203B8" w:rsidRPr="00A371FD">
        <w:rPr>
          <w:sz w:val="22"/>
          <w:szCs w:val="22"/>
        </w:rPr>
        <w:t>minimi</w:t>
      </w:r>
      <w:r w:rsidR="00C45C0D">
        <w:rPr>
          <w:sz w:val="22"/>
          <w:szCs w:val="22"/>
        </w:rPr>
        <w:t>z</w:t>
      </w:r>
      <w:r w:rsidR="003203B8" w:rsidRPr="00A371FD">
        <w:rPr>
          <w:sz w:val="22"/>
          <w:szCs w:val="22"/>
        </w:rPr>
        <w:t xml:space="preserve">es </w:t>
      </w:r>
      <w:r w:rsidRPr="00A371FD">
        <w:rPr>
          <w:sz w:val="22"/>
          <w:szCs w:val="22"/>
        </w:rPr>
        <w:t>the</w:t>
      </w:r>
      <w:r w:rsidR="00673635" w:rsidRPr="00A371FD">
        <w:rPr>
          <w:sz w:val="22"/>
          <w:szCs w:val="22"/>
        </w:rPr>
        <w:t> </w:t>
      </w:r>
      <w:r w:rsidRPr="00A371FD">
        <w:rPr>
          <w:sz w:val="22"/>
          <w:szCs w:val="22"/>
        </w:rPr>
        <w:t xml:space="preserve">likelihood of </w:t>
      </w:r>
      <w:r w:rsidR="009512C8" w:rsidRPr="00A371FD">
        <w:rPr>
          <w:sz w:val="22"/>
          <w:szCs w:val="22"/>
        </w:rPr>
        <w:t>a</w:t>
      </w:r>
      <w:r w:rsidRPr="00A371FD">
        <w:rPr>
          <w:sz w:val="22"/>
          <w:szCs w:val="22"/>
        </w:rPr>
        <w:t xml:space="preserve"> radioactive </w:t>
      </w:r>
      <w:r w:rsidR="009512C8" w:rsidRPr="00A371FD">
        <w:rPr>
          <w:sz w:val="22"/>
          <w:szCs w:val="22"/>
        </w:rPr>
        <w:t xml:space="preserve">leak </w:t>
      </w:r>
      <w:r w:rsidRPr="00A371FD">
        <w:rPr>
          <w:sz w:val="22"/>
          <w:szCs w:val="22"/>
        </w:rPr>
        <w:t xml:space="preserve">outside the containment building. However, dividing the nuclear unit into two separate circuits </w:t>
      </w:r>
      <w:r w:rsidR="009512C8" w:rsidRPr="00A371FD">
        <w:rPr>
          <w:sz w:val="22"/>
          <w:szCs w:val="22"/>
        </w:rPr>
        <w:t>requires</w:t>
      </w:r>
      <w:r w:rsidRPr="00A371FD">
        <w:rPr>
          <w:sz w:val="22"/>
          <w:szCs w:val="22"/>
        </w:rPr>
        <w:t xml:space="preserve"> additional equipment, such as feedwater pumps, steam generators</w:t>
      </w:r>
      <w:r w:rsidR="003203B8" w:rsidRPr="00A371FD">
        <w:rPr>
          <w:sz w:val="22"/>
          <w:szCs w:val="22"/>
        </w:rPr>
        <w:t>,</w:t>
      </w:r>
      <w:r w:rsidRPr="00A371FD">
        <w:rPr>
          <w:sz w:val="22"/>
          <w:szCs w:val="22"/>
        </w:rPr>
        <w:t xml:space="preserve"> and </w:t>
      </w:r>
      <w:r w:rsidR="009512C8" w:rsidRPr="00A371FD">
        <w:rPr>
          <w:sz w:val="22"/>
          <w:szCs w:val="22"/>
        </w:rPr>
        <w:t xml:space="preserve">a </w:t>
      </w:r>
      <w:r w:rsidRPr="00A371FD">
        <w:rPr>
          <w:sz w:val="22"/>
          <w:szCs w:val="22"/>
        </w:rPr>
        <w:t>pressuri</w:t>
      </w:r>
      <w:r w:rsidR="00C45C0D">
        <w:rPr>
          <w:sz w:val="22"/>
          <w:szCs w:val="22"/>
        </w:rPr>
        <w:t>z</w:t>
      </w:r>
      <w:r w:rsidRPr="00A371FD">
        <w:rPr>
          <w:sz w:val="22"/>
          <w:szCs w:val="22"/>
        </w:rPr>
        <w:t xml:space="preserve">er. </w:t>
      </w:r>
      <w:r w:rsidR="00AF7008" w:rsidRPr="00A371FD">
        <w:rPr>
          <w:sz w:val="22"/>
          <w:szCs w:val="22"/>
        </w:rPr>
        <w:t xml:space="preserve">Finally, the </w:t>
      </w:r>
      <w:r w:rsidRPr="00A371FD">
        <w:rPr>
          <w:sz w:val="22"/>
          <w:szCs w:val="22"/>
        </w:rPr>
        <w:t>common feature of</w:t>
      </w:r>
      <w:r w:rsidR="008F0F96" w:rsidRPr="00A371FD">
        <w:rPr>
          <w:sz w:val="22"/>
          <w:szCs w:val="22"/>
        </w:rPr>
        <w:t> </w:t>
      </w:r>
      <w:r w:rsidRPr="00A371FD">
        <w:rPr>
          <w:sz w:val="22"/>
          <w:szCs w:val="22"/>
        </w:rPr>
        <w:t xml:space="preserve">PWRs is their principle of operation. In </w:t>
      </w:r>
      <w:r w:rsidR="00AF7008" w:rsidRPr="003C6F28">
        <w:rPr>
          <w:sz w:val="22"/>
          <w:szCs w:val="22"/>
        </w:rPr>
        <w:t>PWRs</w:t>
      </w:r>
      <w:r w:rsidRPr="00A371FD">
        <w:rPr>
          <w:sz w:val="22"/>
          <w:szCs w:val="22"/>
        </w:rPr>
        <w:t>, the average kinetic energy of fission neutrons must be</w:t>
      </w:r>
      <w:r w:rsidR="009752E2" w:rsidRPr="00A371FD">
        <w:rPr>
          <w:sz w:val="22"/>
          <w:szCs w:val="22"/>
        </w:rPr>
        <w:t> </w:t>
      </w:r>
      <w:r w:rsidRPr="00A371FD">
        <w:rPr>
          <w:sz w:val="22"/>
          <w:szCs w:val="22"/>
        </w:rPr>
        <w:t>decreased from 2 MeV so that it can interact with a</w:t>
      </w:r>
      <w:r w:rsidR="0004373B" w:rsidRPr="00A371FD">
        <w:rPr>
          <w:sz w:val="22"/>
          <w:szCs w:val="22"/>
        </w:rPr>
        <w:t> </w:t>
      </w:r>
      <w:r w:rsidRPr="00A371FD">
        <w:rPr>
          <w:sz w:val="22"/>
          <w:szCs w:val="22"/>
        </w:rPr>
        <w:t xml:space="preserve">higher probability with the nuclei of the fissile U-235, which is a key </w:t>
      </w:r>
      <w:r w:rsidR="009512C8" w:rsidRPr="00A371FD">
        <w:rPr>
          <w:sz w:val="22"/>
          <w:szCs w:val="22"/>
        </w:rPr>
        <w:t>element</w:t>
      </w:r>
      <w:r w:rsidRPr="00A371FD">
        <w:rPr>
          <w:sz w:val="22"/>
          <w:szCs w:val="22"/>
        </w:rPr>
        <w:t xml:space="preserve"> in nuclear fuel.</w:t>
      </w:r>
      <w:r w:rsidR="0072358D" w:rsidRPr="00A371FD">
        <w:rPr>
          <w:sz w:val="22"/>
          <w:szCs w:val="22"/>
        </w:rPr>
        <w:t xml:space="preserve"> This</w:t>
      </w:r>
      <w:r w:rsidR="00813531" w:rsidRPr="00A371FD">
        <w:rPr>
          <w:sz w:val="22"/>
          <w:szCs w:val="22"/>
        </w:rPr>
        <w:t xml:space="preserve"> </w:t>
      </w:r>
      <w:r w:rsidR="0072358D" w:rsidRPr="00A371FD">
        <w:rPr>
          <w:sz w:val="22"/>
          <w:szCs w:val="22"/>
        </w:rPr>
        <w:t>type</w:t>
      </w:r>
      <w:r w:rsidR="00813531" w:rsidRPr="00A371FD">
        <w:rPr>
          <w:sz w:val="22"/>
          <w:szCs w:val="22"/>
        </w:rPr>
        <w:t xml:space="preserve"> </w:t>
      </w:r>
      <w:r w:rsidR="0072358D" w:rsidRPr="00A371FD">
        <w:rPr>
          <w:sz w:val="22"/>
          <w:szCs w:val="22"/>
        </w:rPr>
        <w:t>of</w:t>
      </w:r>
      <w:r w:rsidR="00B92268" w:rsidRPr="00A371FD">
        <w:rPr>
          <w:sz w:val="22"/>
          <w:szCs w:val="22"/>
        </w:rPr>
        <w:t> </w:t>
      </w:r>
      <w:r w:rsidR="0072358D" w:rsidRPr="00A371FD">
        <w:rPr>
          <w:sz w:val="22"/>
          <w:szCs w:val="22"/>
        </w:rPr>
        <w:t xml:space="preserve">reactor uses neutrons with thermal energies of approximately 0.0253 eV to initiate fission. </w:t>
      </w:r>
      <w:r w:rsidR="003203B8" w:rsidRPr="00A371FD">
        <w:rPr>
          <w:sz w:val="22"/>
          <w:szCs w:val="22"/>
        </w:rPr>
        <w:t>To</w:t>
      </w:r>
      <w:r w:rsidR="0072358D" w:rsidRPr="00A371FD">
        <w:rPr>
          <w:sz w:val="22"/>
          <w:szCs w:val="22"/>
        </w:rPr>
        <w:t xml:space="preserve"> achieve this in PWRs, light water (H</w:t>
      </w:r>
      <w:r w:rsidR="0072358D" w:rsidRPr="00A371FD">
        <w:rPr>
          <w:sz w:val="22"/>
          <w:szCs w:val="22"/>
          <w:vertAlign w:val="subscript"/>
        </w:rPr>
        <w:t>2</w:t>
      </w:r>
      <w:r w:rsidR="0072358D" w:rsidRPr="00A371FD">
        <w:rPr>
          <w:sz w:val="22"/>
          <w:szCs w:val="22"/>
        </w:rPr>
        <w:t>O) with the required chemical composition is used as a</w:t>
      </w:r>
      <w:r w:rsidR="00B9632F" w:rsidRPr="00A371FD">
        <w:rPr>
          <w:sz w:val="22"/>
          <w:szCs w:val="22"/>
        </w:rPr>
        <w:t> </w:t>
      </w:r>
      <w:r w:rsidR="0072358D" w:rsidRPr="00A371FD">
        <w:rPr>
          <w:sz w:val="22"/>
          <w:szCs w:val="22"/>
        </w:rPr>
        <w:t>coolant and neutron moderator [2, 3].</w:t>
      </w:r>
      <w:r w:rsidR="00917C19" w:rsidRPr="00A371FD">
        <w:rPr>
          <w:sz w:val="22"/>
          <w:szCs w:val="22"/>
        </w:rPr>
        <w:t xml:space="preserve"> </w:t>
      </w:r>
    </w:p>
    <w:p w14:paraId="5478714C" w14:textId="02B2FE57" w:rsidR="00A32E04" w:rsidRPr="00A371FD" w:rsidRDefault="00A32E04" w:rsidP="00517818">
      <w:pPr>
        <w:pStyle w:val="Tekstpodstawowywcity"/>
        <w:rPr>
          <w:sz w:val="22"/>
          <w:szCs w:val="22"/>
        </w:rPr>
      </w:pPr>
      <w:r w:rsidRPr="00A371FD">
        <w:rPr>
          <w:sz w:val="22"/>
          <w:szCs w:val="22"/>
        </w:rPr>
        <w:t xml:space="preserve">One of the unique designs in the </w:t>
      </w:r>
      <w:r w:rsidR="00006D9C" w:rsidRPr="00A371FD">
        <w:rPr>
          <w:sz w:val="22"/>
          <w:szCs w:val="22"/>
        </w:rPr>
        <w:t>PWR</w:t>
      </w:r>
      <w:r w:rsidRPr="00A371FD">
        <w:rPr>
          <w:sz w:val="22"/>
          <w:szCs w:val="22"/>
        </w:rPr>
        <w:t xml:space="preserve"> subgroup is Westinghouse Electric</w:t>
      </w:r>
      <w:r w:rsidR="00006D9C" w:rsidRPr="00A371FD">
        <w:rPr>
          <w:sz w:val="22"/>
          <w:szCs w:val="22"/>
        </w:rPr>
        <w:t xml:space="preserve"> </w:t>
      </w:r>
      <w:r w:rsidRPr="00A371FD">
        <w:rPr>
          <w:sz w:val="22"/>
          <w:szCs w:val="22"/>
        </w:rPr>
        <w:t>Company</w:t>
      </w:r>
      <w:r w:rsidR="005D4BF2" w:rsidRPr="00A371FD">
        <w:rPr>
          <w:sz w:val="22"/>
          <w:szCs w:val="22"/>
        </w:rPr>
        <w:t>’s</w:t>
      </w:r>
      <w:r w:rsidRPr="00A371FD">
        <w:rPr>
          <w:sz w:val="22"/>
          <w:szCs w:val="22"/>
        </w:rPr>
        <w:t xml:space="preserve"> AP1000, which will be considered in this paper. In 2005, the U.S. Nuclear Regulatory Commission </w:t>
      </w:r>
      <w:r w:rsidR="003203B8" w:rsidRPr="00A371FD">
        <w:rPr>
          <w:sz w:val="22"/>
          <w:szCs w:val="22"/>
        </w:rPr>
        <w:t xml:space="preserve">deemed </w:t>
      </w:r>
      <w:r w:rsidRPr="00A371FD">
        <w:rPr>
          <w:sz w:val="22"/>
          <w:szCs w:val="22"/>
        </w:rPr>
        <w:t xml:space="preserve">Westinghouse's AP1000 nuclear reactor as a standards-compliant, safety-certified design </w:t>
      </w:r>
      <w:r w:rsidR="003203B8" w:rsidRPr="00A371FD">
        <w:rPr>
          <w:sz w:val="22"/>
          <w:szCs w:val="22"/>
        </w:rPr>
        <w:t xml:space="preserve">approved </w:t>
      </w:r>
      <w:r w:rsidRPr="00A371FD">
        <w:rPr>
          <w:sz w:val="22"/>
          <w:szCs w:val="22"/>
        </w:rPr>
        <w:t xml:space="preserve">for further production. </w:t>
      </w:r>
      <w:r w:rsidR="00517818" w:rsidRPr="00A371FD">
        <w:rPr>
          <w:sz w:val="22"/>
          <w:szCs w:val="22"/>
        </w:rPr>
        <w:t xml:space="preserve">The </w:t>
      </w:r>
      <w:r w:rsidR="00006D9C" w:rsidRPr="00A371FD">
        <w:rPr>
          <w:sz w:val="22"/>
          <w:szCs w:val="22"/>
        </w:rPr>
        <w:t xml:space="preserve">development </w:t>
      </w:r>
      <w:r w:rsidR="00517818" w:rsidRPr="00A371FD">
        <w:rPr>
          <w:sz w:val="22"/>
          <w:szCs w:val="22"/>
        </w:rPr>
        <w:t xml:space="preserve">of the AP1000 design </w:t>
      </w:r>
      <w:r w:rsidR="00006D9C" w:rsidRPr="00A371FD">
        <w:rPr>
          <w:sz w:val="22"/>
          <w:szCs w:val="22"/>
        </w:rPr>
        <w:t>focused</w:t>
      </w:r>
      <w:r w:rsidR="00517818" w:rsidRPr="00A371FD">
        <w:rPr>
          <w:sz w:val="22"/>
          <w:szCs w:val="22"/>
        </w:rPr>
        <w:t xml:space="preserve"> primarily on the use of multiple passive safety systems, the reduction of the required construction materials in relation to the maximum electrical power, the modularity of the design</w:t>
      </w:r>
      <w:r w:rsidR="00006D9C" w:rsidRPr="00A371FD">
        <w:rPr>
          <w:sz w:val="22"/>
          <w:szCs w:val="22"/>
        </w:rPr>
        <w:t>,</w:t>
      </w:r>
      <w:r w:rsidR="00517818" w:rsidRPr="00A371FD">
        <w:rPr>
          <w:sz w:val="22"/>
          <w:szCs w:val="22"/>
        </w:rPr>
        <w:t xml:space="preserve"> and the limitation of the area occupied by a single nuclear unit. Currently</w:t>
      </w:r>
      <w:r w:rsidR="00AD7EB7" w:rsidRPr="00A371FD">
        <w:rPr>
          <w:sz w:val="22"/>
          <w:szCs w:val="22"/>
        </w:rPr>
        <w:t>,</w:t>
      </w:r>
      <w:r w:rsidR="00006D9C" w:rsidRPr="00A371FD">
        <w:rPr>
          <w:sz w:val="22"/>
          <w:szCs w:val="22"/>
        </w:rPr>
        <w:t xml:space="preserve"> </w:t>
      </w:r>
      <w:r w:rsidR="00517818" w:rsidRPr="00A371FD">
        <w:rPr>
          <w:sz w:val="22"/>
          <w:szCs w:val="22"/>
        </w:rPr>
        <w:t xml:space="preserve">one American (Vogtle-3) </w:t>
      </w:r>
      <w:r w:rsidR="00782900" w:rsidRPr="00A371FD">
        <w:rPr>
          <w:sz w:val="22"/>
          <w:szCs w:val="22"/>
        </w:rPr>
        <w:t xml:space="preserve">and four Chinese (Sanmen-1, Sanmen-2, Haiyang-1 and Haiyang-2) </w:t>
      </w:r>
      <w:r w:rsidR="00CD6677" w:rsidRPr="00A371FD">
        <w:rPr>
          <w:sz w:val="22"/>
          <w:szCs w:val="22"/>
        </w:rPr>
        <w:t xml:space="preserve">AP1000 </w:t>
      </w:r>
      <w:r w:rsidR="00517818" w:rsidRPr="00A371FD">
        <w:rPr>
          <w:sz w:val="22"/>
          <w:szCs w:val="22"/>
        </w:rPr>
        <w:t>units are in commercial operation. Moreover, another American unit (Vogtle-4) is</w:t>
      </w:r>
      <w:r w:rsidR="009E3A90" w:rsidRPr="00A371FD">
        <w:rPr>
          <w:sz w:val="22"/>
          <w:szCs w:val="22"/>
        </w:rPr>
        <w:t xml:space="preserve"> </w:t>
      </w:r>
      <w:r w:rsidR="00517818" w:rsidRPr="00A371FD">
        <w:rPr>
          <w:sz w:val="22"/>
          <w:szCs w:val="22"/>
        </w:rPr>
        <w:t xml:space="preserve">undergoing start-up tests and </w:t>
      </w:r>
      <w:r w:rsidR="00A43019" w:rsidRPr="00A371FD">
        <w:rPr>
          <w:sz w:val="22"/>
          <w:szCs w:val="22"/>
        </w:rPr>
        <w:t>its</w:t>
      </w:r>
      <w:r w:rsidR="00006D9C" w:rsidRPr="00A371FD">
        <w:rPr>
          <w:sz w:val="22"/>
          <w:szCs w:val="22"/>
        </w:rPr>
        <w:t xml:space="preserve"> </w:t>
      </w:r>
      <w:r w:rsidR="00107E92" w:rsidRPr="00A371FD">
        <w:rPr>
          <w:sz w:val="22"/>
          <w:szCs w:val="22"/>
        </w:rPr>
        <w:t xml:space="preserve">in-service </w:t>
      </w:r>
      <w:r w:rsidR="005E0C34" w:rsidRPr="00A371FD">
        <w:rPr>
          <w:sz w:val="22"/>
          <w:szCs w:val="22"/>
        </w:rPr>
        <w:t xml:space="preserve">date is </w:t>
      </w:r>
      <w:r w:rsidR="00006D9C" w:rsidRPr="00A371FD">
        <w:rPr>
          <w:sz w:val="22"/>
          <w:szCs w:val="22"/>
        </w:rPr>
        <w:t xml:space="preserve">planned </w:t>
      </w:r>
      <w:r w:rsidR="005E0C34" w:rsidRPr="00A371FD">
        <w:rPr>
          <w:sz w:val="22"/>
          <w:szCs w:val="22"/>
        </w:rPr>
        <w:t xml:space="preserve">for the end of the fourth quarter of 2023 or the first quarter of 2024 </w:t>
      </w:r>
      <w:r w:rsidR="00517818" w:rsidRPr="00A371FD">
        <w:rPr>
          <w:sz w:val="22"/>
          <w:szCs w:val="22"/>
        </w:rPr>
        <w:t>[4,5].</w:t>
      </w:r>
    </w:p>
    <w:p w14:paraId="218FC6AE" w14:textId="77777777" w:rsidR="00806DFC" w:rsidRPr="00A371FD" w:rsidRDefault="00806DFC" w:rsidP="00517818">
      <w:pPr>
        <w:pStyle w:val="Tekstpodstawowywcity"/>
        <w:rPr>
          <w:sz w:val="22"/>
          <w:szCs w:val="22"/>
        </w:rPr>
      </w:pPr>
    </w:p>
    <w:p w14:paraId="6DD25937" w14:textId="3083D25A" w:rsidR="00AD4ACB" w:rsidRPr="00A371FD" w:rsidRDefault="0044290D" w:rsidP="0044290D">
      <w:pPr>
        <w:pStyle w:val="Tekstpodstawowywcity"/>
        <w:ind w:firstLine="0"/>
        <w:rPr>
          <w:sz w:val="22"/>
          <w:szCs w:val="22"/>
        </w:rPr>
      </w:pPr>
      <w:r w:rsidRPr="00A371FD">
        <w:rPr>
          <w:i/>
          <w:iCs/>
        </w:rPr>
        <w:lastRenderedPageBreak/>
        <w:t xml:space="preserve">Table 1 </w:t>
      </w:r>
      <w:r w:rsidR="00065204" w:rsidRPr="00A371FD">
        <w:rPr>
          <w:i/>
          <w:iCs/>
        </w:rPr>
        <w:t>AP1000 units</w:t>
      </w:r>
      <w:r w:rsidR="0024245C" w:rsidRPr="00A371FD">
        <w:rPr>
          <w:i/>
          <w:iCs/>
        </w:rPr>
        <w:t xml:space="preserve"> based on [4,5]</w:t>
      </w:r>
      <w:r w:rsidR="00065204" w:rsidRPr="00A371FD">
        <w:rPr>
          <w:i/>
          <w:iCs/>
        </w:rPr>
        <w:t xml:space="preserve">. </w:t>
      </w: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1701"/>
        <w:gridCol w:w="1985"/>
      </w:tblGrid>
      <w:tr w:rsidR="00806DFC" w:rsidRPr="00C45C0D" w14:paraId="1E15B5BC" w14:textId="77777777" w:rsidTr="00F339E9">
        <w:trPr>
          <w:jc w:val="center"/>
        </w:trPr>
        <w:tc>
          <w:tcPr>
            <w:tcW w:w="1271" w:type="dxa"/>
            <w:tcBorders>
              <w:bottom w:val="single" w:sz="4" w:space="0" w:color="auto"/>
            </w:tcBorders>
          </w:tcPr>
          <w:p w14:paraId="14023952" w14:textId="00CF3BA2" w:rsidR="00806DFC" w:rsidRPr="00A371FD" w:rsidRDefault="00602A87" w:rsidP="005866A2">
            <w:pPr>
              <w:pStyle w:val="Tekstpodstawowywcity"/>
              <w:ind w:firstLine="0"/>
              <w:jc w:val="center"/>
              <w:rPr>
                <w:sz w:val="18"/>
              </w:rPr>
            </w:pPr>
            <w:r w:rsidRPr="00A371FD">
              <w:rPr>
                <w:sz w:val="18"/>
              </w:rPr>
              <w:t>Unit</w:t>
            </w:r>
          </w:p>
        </w:tc>
        <w:tc>
          <w:tcPr>
            <w:tcW w:w="1701" w:type="dxa"/>
            <w:tcBorders>
              <w:bottom w:val="single" w:sz="4" w:space="0" w:color="auto"/>
            </w:tcBorders>
          </w:tcPr>
          <w:p w14:paraId="345DB7BC" w14:textId="18061E51" w:rsidR="00806DFC" w:rsidRPr="00A371FD" w:rsidRDefault="005866A2" w:rsidP="000F66C7">
            <w:pPr>
              <w:pStyle w:val="Tekstpodstawowywcity"/>
              <w:ind w:firstLine="0"/>
              <w:jc w:val="center"/>
              <w:rPr>
                <w:sz w:val="18"/>
              </w:rPr>
            </w:pPr>
            <w:r w:rsidRPr="00A371FD">
              <w:rPr>
                <w:sz w:val="18"/>
              </w:rPr>
              <w:t>Country</w:t>
            </w:r>
          </w:p>
        </w:tc>
        <w:tc>
          <w:tcPr>
            <w:tcW w:w="1985" w:type="dxa"/>
            <w:tcBorders>
              <w:bottom w:val="single" w:sz="4" w:space="0" w:color="auto"/>
            </w:tcBorders>
          </w:tcPr>
          <w:p w14:paraId="0A5E82F0" w14:textId="78B551F8" w:rsidR="00806DFC" w:rsidRPr="00A371FD" w:rsidRDefault="00EB05DF" w:rsidP="002B3EBC">
            <w:pPr>
              <w:pStyle w:val="Tekstpodstawowywcity"/>
              <w:ind w:firstLine="0"/>
              <w:jc w:val="center"/>
              <w:rPr>
                <w:sz w:val="18"/>
              </w:rPr>
            </w:pPr>
            <w:r w:rsidRPr="00A371FD">
              <w:rPr>
                <w:sz w:val="18"/>
              </w:rPr>
              <w:t xml:space="preserve">Commercial </w:t>
            </w:r>
            <w:r w:rsidR="0095264A" w:rsidRPr="00A371FD">
              <w:rPr>
                <w:sz w:val="18"/>
              </w:rPr>
              <w:t>date</w:t>
            </w:r>
          </w:p>
        </w:tc>
      </w:tr>
      <w:tr w:rsidR="00991EF8" w:rsidRPr="00C45C0D" w14:paraId="1382C86F" w14:textId="77777777" w:rsidTr="00F339E9">
        <w:trPr>
          <w:jc w:val="center"/>
        </w:trPr>
        <w:tc>
          <w:tcPr>
            <w:tcW w:w="1271" w:type="dxa"/>
            <w:tcBorders>
              <w:bottom w:val="nil"/>
              <w:right w:val="single" w:sz="4" w:space="0" w:color="auto"/>
            </w:tcBorders>
          </w:tcPr>
          <w:p w14:paraId="41E99E26" w14:textId="2B1FA247" w:rsidR="00991EF8" w:rsidRPr="00A371FD" w:rsidRDefault="00075DB7" w:rsidP="00991EF8">
            <w:pPr>
              <w:pStyle w:val="Tekstpodstawowywcity"/>
              <w:ind w:firstLine="0"/>
              <w:jc w:val="center"/>
              <w:rPr>
                <w:sz w:val="18"/>
              </w:rPr>
            </w:pPr>
            <w:r w:rsidRPr="00A371FD">
              <w:rPr>
                <w:sz w:val="18"/>
              </w:rPr>
              <w:t>Sanmen-1</w:t>
            </w:r>
          </w:p>
        </w:tc>
        <w:tc>
          <w:tcPr>
            <w:tcW w:w="1701" w:type="dxa"/>
            <w:tcBorders>
              <w:left w:val="single" w:sz="4" w:space="0" w:color="auto"/>
              <w:bottom w:val="nil"/>
              <w:right w:val="single" w:sz="4" w:space="0" w:color="auto"/>
            </w:tcBorders>
          </w:tcPr>
          <w:p w14:paraId="3A650221" w14:textId="5B29CC37" w:rsidR="00991EF8" w:rsidRPr="00A371FD" w:rsidRDefault="005C179E" w:rsidP="00991EF8">
            <w:pPr>
              <w:pStyle w:val="Tekstpodstawowywcity"/>
              <w:ind w:firstLine="0"/>
              <w:jc w:val="center"/>
              <w:rPr>
                <w:sz w:val="18"/>
              </w:rPr>
            </w:pPr>
            <w:r w:rsidRPr="00A371FD">
              <w:rPr>
                <w:sz w:val="18"/>
              </w:rPr>
              <w:t>China</w:t>
            </w:r>
          </w:p>
        </w:tc>
        <w:tc>
          <w:tcPr>
            <w:tcW w:w="1985" w:type="dxa"/>
            <w:tcBorders>
              <w:left w:val="single" w:sz="4" w:space="0" w:color="auto"/>
              <w:bottom w:val="nil"/>
            </w:tcBorders>
          </w:tcPr>
          <w:p w14:paraId="500F7C29" w14:textId="5246EC01" w:rsidR="00991EF8" w:rsidRPr="00A371FD" w:rsidRDefault="00B24BE7" w:rsidP="00991EF8">
            <w:pPr>
              <w:pStyle w:val="Tekstpodstawowywcity"/>
              <w:ind w:firstLine="0"/>
              <w:jc w:val="center"/>
              <w:rPr>
                <w:sz w:val="18"/>
              </w:rPr>
            </w:pPr>
            <w:r w:rsidRPr="00A371FD">
              <w:rPr>
                <w:sz w:val="18"/>
              </w:rPr>
              <w:t>2018-09-21</w:t>
            </w:r>
          </w:p>
        </w:tc>
      </w:tr>
      <w:tr w:rsidR="00ED4B61" w:rsidRPr="00C45C0D" w14:paraId="409C70B7" w14:textId="77777777" w:rsidTr="00F339E9">
        <w:trPr>
          <w:jc w:val="center"/>
        </w:trPr>
        <w:tc>
          <w:tcPr>
            <w:tcW w:w="1271" w:type="dxa"/>
            <w:tcBorders>
              <w:top w:val="nil"/>
              <w:bottom w:val="nil"/>
              <w:right w:val="single" w:sz="4" w:space="0" w:color="auto"/>
            </w:tcBorders>
          </w:tcPr>
          <w:p w14:paraId="1B500E96" w14:textId="681634B5" w:rsidR="00ED4B61" w:rsidRPr="00A371FD" w:rsidRDefault="00ED4B61" w:rsidP="00ED4B61">
            <w:pPr>
              <w:pStyle w:val="Tekstpodstawowywcity"/>
              <w:ind w:firstLine="0"/>
              <w:jc w:val="center"/>
              <w:rPr>
                <w:sz w:val="18"/>
              </w:rPr>
            </w:pPr>
            <w:r w:rsidRPr="00A371FD">
              <w:rPr>
                <w:sz w:val="18"/>
              </w:rPr>
              <w:t>Sanmen-2</w:t>
            </w:r>
          </w:p>
        </w:tc>
        <w:tc>
          <w:tcPr>
            <w:tcW w:w="1701" w:type="dxa"/>
            <w:tcBorders>
              <w:top w:val="nil"/>
              <w:left w:val="single" w:sz="4" w:space="0" w:color="auto"/>
              <w:bottom w:val="nil"/>
              <w:right w:val="single" w:sz="4" w:space="0" w:color="auto"/>
            </w:tcBorders>
          </w:tcPr>
          <w:p w14:paraId="694C562C" w14:textId="2BA6E7E5" w:rsidR="00ED4B61" w:rsidRPr="00A371FD" w:rsidRDefault="00ED4B61" w:rsidP="00ED4B61">
            <w:pPr>
              <w:pStyle w:val="Tekstpodstawowywcity"/>
              <w:ind w:firstLine="0"/>
              <w:jc w:val="center"/>
              <w:rPr>
                <w:sz w:val="18"/>
              </w:rPr>
            </w:pPr>
            <w:r w:rsidRPr="00A371FD">
              <w:rPr>
                <w:sz w:val="18"/>
              </w:rPr>
              <w:t>China</w:t>
            </w:r>
          </w:p>
        </w:tc>
        <w:tc>
          <w:tcPr>
            <w:tcW w:w="1985" w:type="dxa"/>
            <w:tcBorders>
              <w:top w:val="nil"/>
              <w:left w:val="single" w:sz="4" w:space="0" w:color="auto"/>
              <w:bottom w:val="nil"/>
            </w:tcBorders>
          </w:tcPr>
          <w:p w14:paraId="3092D357" w14:textId="31095267" w:rsidR="00ED4B61" w:rsidRPr="00A371FD" w:rsidRDefault="00165D99" w:rsidP="00ED4B61">
            <w:pPr>
              <w:pStyle w:val="Tekstpodstawowywcity"/>
              <w:ind w:firstLine="0"/>
              <w:jc w:val="center"/>
              <w:rPr>
                <w:sz w:val="18"/>
              </w:rPr>
            </w:pPr>
            <w:r w:rsidRPr="00A371FD">
              <w:rPr>
                <w:sz w:val="18"/>
              </w:rPr>
              <w:t>2018-11-05</w:t>
            </w:r>
          </w:p>
        </w:tc>
      </w:tr>
      <w:tr w:rsidR="00ED4B61" w:rsidRPr="00C45C0D" w14:paraId="49C0E444" w14:textId="77777777" w:rsidTr="00F339E9">
        <w:trPr>
          <w:jc w:val="center"/>
        </w:trPr>
        <w:tc>
          <w:tcPr>
            <w:tcW w:w="1271" w:type="dxa"/>
            <w:tcBorders>
              <w:top w:val="nil"/>
              <w:bottom w:val="nil"/>
              <w:right w:val="single" w:sz="4" w:space="0" w:color="auto"/>
            </w:tcBorders>
          </w:tcPr>
          <w:p w14:paraId="4C9D02D5" w14:textId="1EE306E6" w:rsidR="00ED4B61" w:rsidRPr="00A371FD" w:rsidRDefault="00ED4B61" w:rsidP="00ED4B61">
            <w:pPr>
              <w:pStyle w:val="Tekstpodstawowywcity"/>
              <w:ind w:firstLine="0"/>
              <w:jc w:val="center"/>
              <w:rPr>
                <w:sz w:val="18"/>
              </w:rPr>
            </w:pPr>
            <w:r w:rsidRPr="00A371FD">
              <w:rPr>
                <w:sz w:val="18"/>
              </w:rPr>
              <w:t>Haiyang-1</w:t>
            </w:r>
          </w:p>
        </w:tc>
        <w:tc>
          <w:tcPr>
            <w:tcW w:w="1701" w:type="dxa"/>
            <w:tcBorders>
              <w:top w:val="nil"/>
              <w:left w:val="single" w:sz="4" w:space="0" w:color="auto"/>
              <w:bottom w:val="nil"/>
              <w:right w:val="single" w:sz="4" w:space="0" w:color="auto"/>
            </w:tcBorders>
          </w:tcPr>
          <w:p w14:paraId="3E8283DD" w14:textId="2F448AB7" w:rsidR="00ED4B61" w:rsidRPr="00A371FD" w:rsidRDefault="00ED4B61" w:rsidP="00ED4B61">
            <w:pPr>
              <w:pStyle w:val="Tekstpodstawowywcity"/>
              <w:ind w:firstLine="0"/>
              <w:jc w:val="center"/>
              <w:rPr>
                <w:sz w:val="18"/>
              </w:rPr>
            </w:pPr>
            <w:r w:rsidRPr="00A371FD">
              <w:rPr>
                <w:sz w:val="18"/>
              </w:rPr>
              <w:t>China</w:t>
            </w:r>
          </w:p>
        </w:tc>
        <w:tc>
          <w:tcPr>
            <w:tcW w:w="1985" w:type="dxa"/>
            <w:tcBorders>
              <w:top w:val="nil"/>
              <w:left w:val="single" w:sz="4" w:space="0" w:color="auto"/>
              <w:bottom w:val="nil"/>
            </w:tcBorders>
          </w:tcPr>
          <w:p w14:paraId="30099100" w14:textId="4C628EEC" w:rsidR="00ED4B61" w:rsidRPr="00A371FD" w:rsidRDefault="00CE28DD" w:rsidP="00ED4B61">
            <w:pPr>
              <w:pStyle w:val="Tekstpodstawowywcity"/>
              <w:ind w:firstLine="0"/>
              <w:jc w:val="center"/>
              <w:rPr>
                <w:sz w:val="18"/>
              </w:rPr>
            </w:pPr>
            <w:r w:rsidRPr="00A371FD">
              <w:rPr>
                <w:sz w:val="18"/>
              </w:rPr>
              <w:t>2018-10-22</w:t>
            </w:r>
          </w:p>
        </w:tc>
      </w:tr>
      <w:tr w:rsidR="00ED4B61" w:rsidRPr="00C45C0D" w14:paraId="357F1726" w14:textId="77777777" w:rsidTr="00F339E9">
        <w:trPr>
          <w:jc w:val="center"/>
        </w:trPr>
        <w:tc>
          <w:tcPr>
            <w:tcW w:w="1271" w:type="dxa"/>
            <w:tcBorders>
              <w:top w:val="nil"/>
              <w:bottom w:val="nil"/>
              <w:right w:val="single" w:sz="4" w:space="0" w:color="auto"/>
            </w:tcBorders>
          </w:tcPr>
          <w:p w14:paraId="38416441" w14:textId="6A34CADC" w:rsidR="00ED4B61" w:rsidRPr="00A371FD" w:rsidRDefault="00ED4B61" w:rsidP="00ED4B61">
            <w:pPr>
              <w:pStyle w:val="Tekstpodstawowywcity"/>
              <w:ind w:firstLine="0"/>
              <w:jc w:val="center"/>
              <w:rPr>
                <w:sz w:val="18"/>
              </w:rPr>
            </w:pPr>
            <w:r w:rsidRPr="00A371FD">
              <w:rPr>
                <w:sz w:val="18"/>
              </w:rPr>
              <w:t>Haiyang-2</w:t>
            </w:r>
          </w:p>
        </w:tc>
        <w:tc>
          <w:tcPr>
            <w:tcW w:w="1701" w:type="dxa"/>
            <w:tcBorders>
              <w:top w:val="nil"/>
              <w:left w:val="single" w:sz="4" w:space="0" w:color="auto"/>
              <w:bottom w:val="nil"/>
              <w:right w:val="single" w:sz="4" w:space="0" w:color="auto"/>
            </w:tcBorders>
          </w:tcPr>
          <w:p w14:paraId="3FAFDC3E" w14:textId="4F3C4281" w:rsidR="00ED4B61" w:rsidRPr="00A371FD" w:rsidRDefault="00ED4B61" w:rsidP="00ED4B61">
            <w:pPr>
              <w:pStyle w:val="Tekstpodstawowywcity"/>
              <w:ind w:firstLine="0"/>
              <w:jc w:val="center"/>
              <w:rPr>
                <w:sz w:val="18"/>
              </w:rPr>
            </w:pPr>
            <w:r w:rsidRPr="00A371FD">
              <w:rPr>
                <w:sz w:val="18"/>
              </w:rPr>
              <w:t>China</w:t>
            </w:r>
          </w:p>
        </w:tc>
        <w:tc>
          <w:tcPr>
            <w:tcW w:w="1985" w:type="dxa"/>
            <w:tcBorders>
              <w:top w:val="nil"/>
              <w:left w:val="single" w:sz="4" w:space="0" w:color="auto"/>
              <w:bottom w:val="nil"/>
            </w:tcBorders>
          </w:tcPr>
          <w:p w14:paraId="58A10D10" w14:textId="5266AE84" w:rsidR="00ED4B61" w:rsidRPr="00A371FD" w:rsidRDefault="00CF406D" w:rsidP="00ED4B61">
            <w:pPr>
              <w:pStyle w:val="Tekstpodstawowywcity"/>
              <w:ind w:firstLine="0"/>
              <w:jc w:val="center"/>
              <w:rPr>
                <w:sz w:val="18"/>
              </w:rPr>
            </w:pPr>
            <w:r w:rsidRPr="00A371FD">
              <w:rPr>
                <w:sz w:val="18"/>
              </w:rPr>
              <w:t>2019-01-09</w:t>
            </w:r>
          </w:p>
        </w:tc>
      </w:tr>
      <w:tr w:rsidR="00ED4B61" w:rsidRPr="00C45C0D" w14:paraId="5484E7AE" w14:textId="77777777" w:rsidTr="00F339E9">
        <w:trPr>
          <w:jc w:val="center"/>
        </w:trPr>
        <w:tc>
          <w:tcPr>
            <w:tcW w:w="1271" w:type="dxa"/>
            <w:tcBorders>
              <w:top w:val="nil"/>
              <w:bottom w:val="nil"/>
              <w:right w:val="single" w:sz="4" w:space="0" w:color="auto"/>
            </w:tcBorders>
          </w:tcPr>
          <w:p w14:paraId="7D1EE737" w14:textId="2ABBBC71" w:rsidR="00ED4B61" w:rsidRPr="00A371FD" w:rsidRDefault="00ED4B61" w:rsidP="00ED4B61">
            <w:pPr>
              <w:pStyle w:val="Tekstpodstawowywcity"/>
              <w:ind w:firstLine="0"/>
              <w:jc w:val="center"/>
              <w:rPr>
                <w:sz w:val="18"/>
              </w:rPr>
            </w:pPr>
            <w:r w:rsidRPr="00A371FD">
              <w:rPr>
                <w:sz w:val="18"/>
              </w:rPr>
              <w:t>Vogtle-3</w:t>
            </w:r>
          </w:p>
        </w:tc>
        <w:tc>
          <w:tcPr>
            <w:tcW w:w="1701" w:type="dxa"/>
            <w:tcBorders>
              <w:top w:val="nil"/>
              <w:left w:val="single" w:sz="4" w:space="0" w:color="auto"/>
              <w:bottom w:val="nil"/>
              <w:right w:val="single" w:sz="4" w:space="0" w:color="auto"/>
            </w:tcBorders>
          </w:tcPr>
          <w:p w14:paraId="25992A89" w14:textId="70008CED" w:rsidR="00ED4B61" w:rsidRPr="00A371FD" w:rsidRDefault="00ED4B61" w:rsidP="00ED4B61">
            <w:pPr>
              <w:pStyle w:val="Tekstpodstawowywcity"/>
              <w:ind w:firstLine="0"/>
              <w:jc w:val="center"/>
              <w:rPr>
                <w:sz w:val="18"/>
              </w:rPr>
            </w:pPr>
            <w:r w:rsidRPr="00A371FD">
              <w:rPr>
                <w:sz w:val="18"/>
              </w:rPr>
              <w:t>USA</w:t>
            </w:r>
          </w:p>
        </w:tc>
        <w:tc>
          <w:tcPr>
            <w:tcW w:w="1985" w:type="dxa"/>
            <w:tcBorders>
              <w:top w:val="nil"/>
              <w:left w:val="single" w:sz="4" w:space="0" w:color="auto"/>
              <w:bottom w:val="nil"/>
            </w:tcBorders>
          </w:tcPr>
          <w:p w14:paraId="00017F7F" w14:textId="524D43DE" w:rsidR="00ED4B61" w:rsidRPr="00A371FD" w:rsidRDefault="003B0222" w:rsidP="00ED4B61">
            <w:pPr>
              <w:pStyle w:val="Tekstpodstawowywcity"/>
              <w:ind w:firstLine="0"/>
              <w:jc w:val="center"/>
              <w:rPr>
                <w:sz w:val="18"/>
              </w:rPr>
            </w:pPr>
            <w:r w:rsidRPr="00A371FD">
              <w:rPr>
                <w:sz w:val="18"/>
              </w:rPr>
              <w:t>2023-</w:t>
            </w:r>
            <w:r w:rsidR="008E1BE2" w:rsidRPr="00A371FD">
              <w:rPr>
                <w:sz w:val="18"/>
              </w:rPr>
              <w:t>07-</w:t>
            </w:r>
            <w:r w:rsidR="006809EF" w:rsidRPr="00A371FD">
              <w:rPr>
                <w:sz w:val="18"/>
              </w:rPr>
              <w:t>31</w:t>
            </w:r>
          </w:p>
        </w:tc>
      </w:tr>
      <w:tr w:rsidR="00ED4B61" w:rsidRPr="00C45C0D" w14:paraId="42BE9D0E" w14:textId="77777777" w:rsidTr="00F339E9">
        <w:trPr>
          <w:jc w:val="center"/>
        </w:trPr>
        <w:tc>
          <w:tcPr>
            <w:tcW w:w="1271" w:type="dxa"/>
            <w:tcBorders>
              <w:top w:val="nil"/>
              <w:right w:val="single" w:sz="4" w:space="0" w:color="auto"/>
            </w:tcBorders>
          </w:tcPr>
          <w:p w14:paraId="57F70BD0" w14:textId="7F390C58" w:rsidR="00ED4B61" w:rsidRPr="00A371FD" w:rsidRDefault="00ED4B61" w:rsidP="00ED4B61">
            <w:pPr>
              <w:pStyle w:val="Tekstpodstawowywcity"/>
              <w:ind w:firstLine="0"/>
              <w:jc w:val="center"/>
              <w:rPr>
                <w:sz w:val="18"/>
              </w:rPr>
            </w:pPr>
            <w:r w:rsidRPr="00A371FD">
              <w:rPr>
                <w:sz w:val="18"/>
              </w:rPr>
              <w:t>Vogtle-4</w:t>
            </w:r>
          </w:p>
        </w:tc>
        <w:tc>
          <w:tcPr>
            <w:tcW w:w="1701" w:type="dxa"/>
            <w:tcBorders>
              <w:top w:val="nil"/>
              <w:left w:val="single" w:sz="4" w:space="0" w:color="auto"/>
              <w:right w:val="single" w:sz="4" w:space="0" w:color="auto"/>
            </w:tcBorders>
          </w:tcPr>
          <w:p w14:paraId="3B8CFEB5" w14:textId="602B4806" w:rsidR="00ED4B61" w:rsidRPr="00A371FD" w:rsidRDefault="00ED4B61" w:rsidP="00ED4B61">
            <w:pPr>
              <w:pStyle w:val="Tekstpodstawowywcity"/>
              <w:ind w:firstLine="0"/>
              <w:jc w:val="center"/>
              <w:rPr>
                <w:sz w:val="18"/>
              </w:rPr>
            </w:pPr>
            <w:r w:rsidRPr="00A371FD">
              <w:rPr>
                <w:sz w:val="18"/>
              </w:rPr>
              <w:t>USA</w:t>
            </w:r>
          </w:p>
        </w:tc>
        <w:tc>
          <w:tcPr>
            <w:tcW w:w="1985" w:type="dxa"/>
            <w:tcBorders>
              <w:top w:val="nil"/>
              <w:left w:val="single" w:sz="4" w:space="0" w:color="auto"/>
            </w:tcBorders>
          </w:tcPr>
          <w:p w14:paraId="2B143EEC" w14:textId="1B272987" w:rsidR="00ED4B61" w:rsidRPr="00A371FD" w:rsidRDefault="00DD4039" w:rsidP="00ED4B61">
            <w:pPr>
              <w:pStyle w:val="Tekstpodstawowywcity"/>
              <w:ind w:firstLine="0"/>
              <w:jc w:val="center"/>
              <w:rPr>
                <w:sz w:val="18"/>
              </w:rPr>
            </w:pPr>
            <w:r w:rsidRPr="00A371FD">
              <w:rPr>
                <w:sz w:val="18"/>
              </w:rPr>
              <w:t>Planned 2023/2024</w:t>
            </w:r>
          </w:p>
        </w:tc>
      </w:tr>
    </w:tbl>
    <w:p w14:paraId="5C4893C8" w14:textId="77777777" w:rsidR="00781B6A" w:rsidRPr="00A371FD" w:rsidRDefault="00781B6A" w:rsidP="00616BA1">
      <w:pPr>
        <w:pStyle w:val="Tekstpodstawowywcity"/>
        <w:ind w:firstLine="0"/>
        <w:rPr>
          <w:sz w:val="22"/>
          <w:szCs w:val="22"/>
        </w:rPr>
      </w:pPr>
    </w:p>
    <w:p w14:paraId="675A48A1" w14:textId="29D7D1A3" w:rsidR="00781B6A" w:rsidRPr="00A371FD" w:rsidRDefault="00781B6A" w:rsidP="00E93F48">
      <w:pPr>
        <w:pStyle w:val="AbstractClauseTitle"/>
        <w:jc w:val="left"/>
        <w:rPr>
          <w:rFonts w:ascii="Times New Roman" w:hAnsi="Times New Roman"/>
          <w:sz w:val="22"/>
          <w:szCs w:val="22"/>
        </w:rPr>
      </w:pPr>
      <w:r w:rsidRPr="00A371FD">
        <w:rPr>
          <w:rFonts w:ascii="Times New Roman" w:hAnsi="Times New Roman"/>
          <w:sz w:val="22"/>
          <w:szCs w:val="22"/>
        </w:rPr>
        <w:t xml:space="preserve">II. </w:t>
      </w:r>
      <w:r w:rsidR="006F490D" w:rsidRPr="00A371FD">
        <w:rPr>
          <w:rFonts w:ascii="Times New Roman" w:hAnsi="Times New Roman"/>
          <w:caps w:val="0"/>
          <w:sz w:val="22"/>
          <w:szCs w:val="22"/>
        </w:rPr>
        <w:t>AP1000 Reactor Core Model</w:t>
      </w:r>
    </w:p>
    <w:p w14:paraId="0DA134B0" w14:textId="77777777" w:rsidR="00781B6A" w:rsidRPr="00A371FD" w:rsidRDefault="00781B6A">
      <w:pPr>
        <w:pStyle w:val="Tekstpodstawowywcity"/>
        <w:rPr>
          <w:sz w:val="22"/>
          <w:szCs w:val="22"/>
        </w:rPr>
      </w:pPr>
    </w:p>
    <w:p w14:paraId="41CF6969" w14:textId="6FD00AC3" w:rsidR="00B4753B" w:rsidRPr="00A371FD" w:rsidRDefault="00B4753B">
      <w:pPr>
        <w:pStyle w:val="Tekstpodstawowywcity"/>
        <w:rPr>
          <w:b/>
          <w:bCs/>
          <w:i/>
          <w:iCs/>
          <w:sz w:val="22"/>
          <w:szCs w:val="22"/>
        </w:rPr>
      </w:pPr>
      <w:r w:rsidRPr="00A371FD">
        <w:rPr>
          <w:b/>
          <w:bCs/>
          <w:i/>
          <w:iCs/>
          <w:sz w:val="22"/>
          <w:szCs w:val="22"/>
        </w:rPr>
        <w:t>II.A. The OpenMC Monte Carlo Code</w:t>
      </w:r>
    </w:p>
    <w:p w14:paraId="0867ACAB" w14:textId="77777777" w:rsidR="00781B6A" w:rsidRPr="00A371FD" w:rsidRDefault="00781B6A" w:rsidP="0067333C">
      <w:pPr>
        <w:pStyle w:val="Tekstpodstawowywcity"/>
        <w:ind w:firstLine="0"/>
        <w:rPr>
          <w:i/>
          <w:iCs/>
          <w:sz w:val="22"/>
          <w:szCs w:val="22"/>
        </w:rPr>
      </w:pPr>
    </w:p>
    <w:p w14:paraId="0E041479" w14:textId="2334E2EB" w:rsidR="00FC051D" w:rsidRPr="00A371FD" w:rsidRDefault="00FC051D" w:rsidP="00A371FD">
      <w:pPr>
        <w:pStyle w:val="Tekstpodstawowywcity"/>
        <w:ind w:firstLine="0"/>
        <w:rPr>
          <w:sz w:val="22"/>
          <w:szCs w:val="22"/>
        </w:rPr>
      </w:pPr>
      <w:r w:rsidRPr="00A371FD">
        <w:rPr>
          <w:sz w:val="22"/>
          <w:szCs w:val="22"/>
        </w:rPr>
        <w:t>Mode</w:t>
      </w:r>
      <w:r w:rsidR="00006D9C" w:rsidRPr="00A371FD">
        <w:rPr>
          <w:sz w:val="22"/>
          <w:szCs w:val="22"/>
        </w:rPr>
        <w:t>l</w:t>
      </w:r>
      <w:r w:rsidRPr="00A371FD">
        <w:rPr>
          <w:sz w:val="22"/>
          <w:szCs w:val="22"/>
        </w:rPr>
        <w:t xml:space="preserve">ling </w:t>
      </w:r>
      <w:r w:rsidR="00C267EA" w:rsidRPr="00A371FD">
        <w:rPr>
          <w:sz w:val="22"/>
          <w:szCs w:val="22"/>
        </w:rPr>
        <w:t xml:space="preserve">the </w:t>
      </w:r>
      <w:r w:rsidR="00197D3D" w:rsidRPr="00A371FD">
        <w:rPr>
          <w:sz w:val="22"/>
          <w:szCs w:val="22"/>
        </w:rPr>
        <w:t>phenomenon</w:t>
      </w:r>
      <w:r w:rsidRPr="00A371FD">
        <w:rPr>
          <w:sz w:val="22"/>
          <w:szCs w:val="22"/>
        </w:rPr>
        <w:t xml:space="preserve"> </w:t>
      </w:r>
      <w:r w:rsidR="00197D3D" w:rsidRPr="00A371FD">
        <w:rPr>
          <w:sz w:val="22"/>
          <w:szCs w:val="22"/>
        </w:rPr>
        <w:t>taking place</w:t>
      </w:r>
      <w:r w:rsidRPr="00A371FD">
        <w:rPr>
          <w:sz w:val="22"/>
          <w:szCs w:val="22"/>
        </w:rPr>
        <w:t xml:space="preserve"> inside a reactor’s pressure vessel is an important </w:t>
      </w:r>
      <w:r w:rsidR="00197D3D" w:rsidRPr="00A371FD">
        <w:rPr>
          <w:sz w:val="22"/>
          <w:szCs w:val="22"/>
        </w:rPr>
        <w:t>matter</w:t>
      </w:r>
      <w:r w:rsidRPr="00A371FD">
        <w:rPr>
          <w:sz w:val="22"/>
          <w:szCs w:val="22"/>
        </w:rPr>
        <w:t xml:space="preserve"> during </w:t>
      </w:r>
      <w:r w:rsidR="00006D9C" w:rsidRPr="00A371FD">
        <w:rPr>
          <w:sz w:val="22"/>
          <w:szCs w:val="22"/>
        </w:rPr>
        <w:t xml:space="preserve">both </w:t>
      </w:r>
      <w:r w:rsidRPr="00A371FD">
        <w:rPr>
          <w:sz w:val="22"/>
          <w:szCs w:val="22"/>
        </w:rPr>
        <w:t xml:space="preserve">the design and </w:t>
      </w:r>
      <w:r w:rsidR="00006D9C" w:rsidRPr="00A371FD">
        <w:rPr>
          <w:sz w:val="22"/>
          <w:szCs w:val="22"/>
        </w:rPr>
        <w:t xml:space="preserve">the </w:t>
      </w:r>
      <w:r w:rsidRPr="00A371FD">
        <w:rPr>
          <w:sz w:val="22"/>
          <w:szCs w:val="22"/>
        </w:rPr>
        <w:t xml:space="preserve">operation phases. It provides an opportunity to obtain the data </w:t>
      </w:r>
      <w:r w:rsidR="00006D9C" w:rsidRPr="00A371FD">
        <w:rPr>
          <w:sz w:val="22"/>
          <w:szCs w:val="22"/>
        </w:rPr>
        <w:t xml:space="preserve">necessary </w:t>
      </w:r>
      <w:r w:rsidRPr="00A371FD">
        <w:rPr>
          <w:sz w:val="22"/>
          <w:szCs w:val="22"/>
        </w:rPr>
        <w:t xml:space="preserve">for assessing whether the reactor is operating </w:t>
      </w:r>
      <w:r w:rsidR="00C267EA" w:rsidRPr="00A371FD">
        <w:rPr>
          <w:sz w:val="22"/>
          <w:szCs w:val="22"/>
        </w:rPr>
        <w:t>correctly</w:t>
      </w:r>
      <w:r w:rsidRPr="00A371FD">
        <w:rPr>
          <w:sz w:val="22"/>
          <w:szCs w:val="22"/>
        </w:rPr>
        <w:t xml:space="preserve">. </w:t>
      </w:r>
      <w:r w:rsidR="00C267EA" w:rsidRPr="00A371FD">
        <w:rPr>
          <w:sz w:val="22"/>
          <w:szCs w:val="22"/>
        </w:rPr>
        <w:t>Specifically, neutronic and thermal-hydraulic analyses are a crucial part of the process</w:t>
      </w:r>
      <w:r w:rsidRPr="00A371FD">
        <w:rPr>
          <w:sz w:val="22"/>
          <w:szCs w:val="22"/>
        </w:rPr>
        <w:t>.</w:t>
      </w:r>
      <w:r w:rsidR="00C267EA" w:rsidRPr="00A371FD">
        <w:rPr>
          <w:sz w:val="22"/>
          <w:szCs w:val="22"/>
        </w:rPr>
        <w:t xml:space="preserve"> This paper focuses on the former.</w:t>
      </w:r>
    </w:p>
    <w:p w14:paraId="0C57D0B9" w14:textId="11A50973" w:rsidR="00781B6A" w:rsidRPr="00A371FD" w:rsidRDefault="00FC051D" w:rsidP="001A36E8">
      <w:pPr>
        <w:pStyle w:val="Tekstpodstawowywcity"/>
        <w:rPr>
          <w:sz w:val="22"/>
          <w:szCs w:val="22"/>
        </w:rPr>
      </w:pPr>
      <w:r w:rsidRPr="00A371FD">
        <w:rPr>
          <w:sz w:val="22"/>
          <w:szCs w:val="22"/>
        </w:rPr>
        <w:t xml:space="preserve">One of the examples of codes used in core neutronics-related simulations is OpenMC, which was developed by members of the Computational Reactor Physics Group at the Massachusetts Institute of Technology in 2011 [6]. </w:t>
      </w:r>
      <w:r w:rsidR="005B4952" w:rsidRPr="00A371FD">
        <w:rPr>
          <w:sz w:val="22"/>
          <w:szCs w:val="22"/>
        </w:rPr>
        <w:t xml:space="preserve">The OpenMC code and nuclear data libraries are both publicly available and </w:t>
      </w:r>
      <w:r w:rsidR="00197D3D" w:rsidRPr="00A371FD">
        <w:rPr>
          <w:sz w:val="22"/>
          <w:szCs w:val="22"/>
        </w:rPr>
        <w:t>continuously</w:t>
      </w:r>
      <w:r w:rsidR="005B4952" w:rsidRPr="00A371FD">
        <w:rPr>
          <w:sz w:val="22"/>
          <w:szCs w:val="22"/>
        </w:rPr>
        <w:t xml:space="preserve"> developed by laboratories and</w:t>
      </w:r>
      <w:r w:rsidR="00006D9C" w:rsidRPr="00A371FD">
        <w:rPr>
          <w:sz w:val="22"/>
          <w:szCs w:val="22"/>
        </w:rPr>
        <w:t xml:space="preserve"> </w:t>
      </w:r>
      <w:r w:rsidR="005B4952" w:rsidRPr="00A371FD">
        <w:rPr>
          <w:sz w:val="22"/>
          <w:szCs w:val="22"/>
        </w:rPr>
        <w:t>universities</w:t>
      </w:r>
      <w:r w:rsidR="00006D9C" w:rsidRPr="00A371FD">
        <w:rPr>
          <w:sz w:val="22"/>
          <w:szCs w:val="22"/>
        </w:rPr>
        <w:t xml:space="preserve"> around the world</w:t>
      </w:r>
      <w:r w:rsidR="005B4952" w:rsidRPr="00A371FD">
        <w:rPr>
          <w:sz w:val="22"/>
          <w:szCs w:val="22"/>
        </w:rPr>
        <w:t xml:space="preserve">. </w:t>
      </w:r>
      <w:r w:rsidRPr="00A371FD">
        <w:rPr>
          <w:sz w:val="22"/>
          <w:szCs w:val="22"/>
        </w:rPr>
        <w:t xml:space="preserve">The principle of its operation </w:t>
      </w:r>
      <w:r w:rsidR="00197D3D" w:rsidRPr="00A371FD">
        <w:rPr>
          <w:sz w:val="22"/>
          <w:szCs w:val="22"/>
        </w:rPr>
        <w:t>is based on</w:t>
      </w:r>
      <w:r w:rsidRPr="00A371FD">
        <w:rPr>
          <w:sz w:val="22"/>
          <w:szCs w:val="22"/>
        </w:rPr>
        <w:t xml:space="preserve"> </w:t>
      </w:r>
      <w:r w:rsidR="00006D9C" w:rsidRPr="00A371FD">
        <w:rPr>
          <w:sz w:val="22"/>
          <w:szCs w:val="22"/>
        </w:rPr>
        <w:t xml:space="preserve">the Monte Carlo </w:t>
      </w:r>
      <w:r w:rsidRPr="00A371FD">
        <w:rPr>
          <w:sz w:val="22"/>
          <w:szCs w:val="22"/>
        </w:rPr>
        <w:t>statistic</w:t>
      </w:r>
      <w:r w:rsidR="00006D9C" w:rsidRPr="00A371FD">
        <w:rPr>
          <w:sz w:val="22"/>
          <w:szCs w:val="22"/>
        </w:rPr>
        <w:t>al</w:t>
      </w:r>
      <w:r w:rsidRPr="00A371FD">
        <w:rPr>
          <w:sz w:val="22"/>
          <w:szCs w:val="22"/>
        </w:rPr>
        <w:t xml:space="preserve"> method</w:t>
      </w:r>
      <w:r w:rsidR="00006D9C" w:rsidRPr="00A371FD">
        <w:rPr>
          <w:sz w:val="22"/>
          <w:szCs w:val="22"/>
        </w:rPr>
        <w:t xml:space="preserve">s, which allow for </w:t>
      </w:r>
      <w:r w:rsidR="006E1F87" w:rsidRPr="00A371FD">
        <w:rPr>
          <w:sz w:val="22"/>
          <w:szCs w:val="22"/>
        </w:rPr>
        <w:t>simulat</w:t>
      </w:r>
      <w:r w:rsidR="00006D9C" w:rsidRPr="00A371FD">
        <w:rPr>
          <w:sz w:val="22"/>
          <w:szCs w:val="22"/>
        </w:rPr>
        <w:t>ing</w:t>
      </w:r>
      <w:r w:rsidR="006E1F87" w:rsidRPr="00A371FD">
        <w:rPr>
          <w:sz w:val="22"/>
          <w:szCs w:val="22"/>
        </w:rPr>
        <w:t xml:space="preserve"> </w:t>
      </w:r>
      <w:r w:rsidRPr="00A371FD">
        <w:rPr>
          <w:sz w:val="22"/>
          <w:szCs w:val="22"/>
        </w:rPr>
        <w:t>complex</w:t>
      </w:r>
      <w:r w:rsidR="00006D9C" w:rsidRPr="00A371FD">
        <w:rPr>
          <w:sz w:val="22"/>
          <w:szCs w:val="22"/>
        </w:rPr>
        <w:t xml:space="preserve"> </w:t>
      </w:r>
      <w:r w:rsidRPr="00A371FD">
        <w:rPr>
          <w:sz w:val="22"/>
          <w:szCs w:val="22"/>
        </w:rPr>
        <w:t>processes</w:t>
      </w:r>
      <w:r w:rsidR="0040157D" w:rsidRPr="00A371FD">
        <w:rPr>
          <w:sz w:val="22"/>
          <w:szCs w:val="22"/>
        </w:rPr>
        <w:t xml:space="preserve"> </w:t>
      </w:r>
      <w:r w:rsidRPr="00A371FD">
        <w:rPr>
          <w:sz w:val="22"/>
          <w:szCs w:val="22"/>
        </w:rPr>
        <w:t>in multidimensional systems. For neutronic analyses, the Monte Carlo method relies on a system for monitoring the behav</w:t>
      </w:r>
      <w:r w:rsidR="00006D9C" w:rsidRPr="00A371FD">
        <w:rPr>
          <w:sz w:val="22"/>
          <w:szCs w:val="22"/>
        </w:rPr>
        <w:t>io</w:t>
      </w:r>
      <w:r w:rsidRPr="00A371FD">
        <w:rPr>
          <w:sz w:val="22"/>
          <w:szCs w:val="22"/>
        </w:rPr>
        <w:t xml:space="preserve">r of particles from the </w:t>
      </w:r>
      <w:r w:rsidR="00197D3D" w:rsidRPr="00A371FD">
        <w:rPr>
          <w:sz w:val="22"/>
          <w:szCs w:val="22"/>
        </w:rPr>
        <w:t>time</w:t>
      </w:r>
      <w:r w:rsidRPr="00A371FD">
        <w:rPr>
          <w:sz w:val="22"/>
          <w:szCs w:val="22"/>
        </w:rPr>
        <w:t xml:space="preserve"> they appear in the system until the end of their life</w:t>
      </w:r>
      <w:r w:rsidR="00006D9C" w:rsidRPr="00A371FD">
        <w:rPr>
          <w:sz w:val="22"/>
          <w:szCs w:val="22"/>
        </w:rPr>
        <w:t>-</w:t>
      </w:r>
      <w:r w:rsidRPr="00A371FD">
        <w:rPr>
          <w:sz w:val="22"/>
          <w:szCs w:val="22"/>
        </w:rPr>
        <w:t xml:space="preserve">cycle. Simulations are performed </w:t>
      </w:r>
      <w:r w:rsidR="00006D9C" w:rsidRPr="00A371FD">
        <w:rPr>
          <w:sz w:val="22"/>
          <w:szCs w:val="22"/>
        </w:rPr>
        <w:t>using</w:t>
      </w:r>
      <w:r w:rsidRPr="00A371FD">
        <w:rPr>
          <w:sz w:val="22"/>
          <w:szCs w:val="22"/>
        </w:rPr>
        <w:t xml:space="preserve"> pseudo</w:t>
      </w:r>
      <w:r w:rsidR="00006D9C" w:rsidRPr="00A371FD">
        <w:rPr>
          <w:sz w:val="22"/>
          <w:szCs w:val="22"/>
        </w:rPr>
        <w:t>-</w:t>
      </w:r>
      <w:r w:rsidRPr="00A371FD">
        <w:rPr>
          <w:sz w:val="22"/>
          <w:szCs w:val="22"/>
        </w:rPr>
        <w:t xml:space="preserve">random numbers that allow the results to be interpreted according to a familiar distribution [7]. </w:t>
      </w:r>
    </w:p>
    <w:p w14:paraId="6059E643" w14:textId="77777777" w:rsidR="00380B34" w:rsidRPr="00A371FD" w:rsidRDefault="00380B34" w:rsidP="00484DC3">
      <w:pPr>
        <w:pStyle w:val="Tekstpodstawowywcity"/>
        <w:ind w:firstLine="0"/>
        <w:rPr>
          <w:sz w:val="22"/>
          <w:szCs w:val="22"/>
        </w:rPr>
      </w:pPr>
    </w:p>
    <w:p w14:paraId="78176D3E" w14:textId="526F7C6E" w:rsidR="00781B6A" w:rsidRPr="00A371FD" w:rsidRDefault="00B3545E" w:rsidP="00B3545E">
      <w:pPr>
        <w:pStyle w:val="Tekstpodstawowywcity"/>
        <w:rPr>
          <w:b/>
          <w:bCs/>
          <w:i/>
          <w:iCs/>
          <w:sz w:val="22"/>
          <w:szCs w:val="22"/>
        </w:rPr>
      </w:pPr>
      <w:r w:rsidRPr="00A371FD">
        <w:rPr>
          <w:b/>
          <w:i/>
          <w:iCs/>
          <w:sz w:val="22"/>
          <w:szCs w:val="22"/>
        </w:rPr>
        <w:t>II.B Model Development</w:t>
      </w:r>
    </w:p>
    <w:p w14:paraId="6FFBC81C" w14:textId="77777777" w:rsidR="005B504D" w:rsidRPr="00A371FD" w:rsidRDefault="005B504D" w:rsidP="005B504D">
      <w:pPr>
        <w:pStyle w:val="Tekstpodstawowywcity"/>
        <w:ind w:firstLine="0"/>
        <w:rPr>
          <w:sz w:val="22"/>
          <w:szCs w:val="22"/>
        </w:rPr>
      </w:pPr>
    </w:p>
    <w:p w14:paraId="47560564" w14:textId="66C112BE" w:rsidR="00120BCF" w:rsidRPr="00A371FD" w:rsidRDefault="005B504D" w:rsidP="00A371FD">
      <w:pPr>
        <w:pStyle w:val="Tekstpodstawowywcity"/>
        <w:ind w:firstLine="0"/>
        <w:rPr>
          <w:sz w:val="22"/>
          <w:szCs w:val="22"/>
        </w:rPr>
      </w:pPr>
      <w:r w:rsidRPr="00A371FD">
        <w:rPr>
          <w:sz w:val="22"/>
          <w:szCs w:val="22"/>
        </w:rPr>
        <w:t>The AP1000 reactor model described in this paper was prepared using above mentioned OpenMC</w:t>
      </w:r>
      <w:r w:rsidR="00197D3D" w:rsidRPr="00A371FD">
        <w:rPr>
          <w:sz w:val="22"/>
          <w:szCs w:val="22"/>
        </w:rPr>
        <w:t xml:space="preserve"> code</w:t>
      </w:r>
      <w:r w:rsidRPr="00A371FD">
        <w:rPr>
          <w:sz w:val="22"/>
          <w:szCs w:val="22"/>
        </w:rPr>
        <w:t xml:space="preserve">. </w:t>
      </w:r>
      <w:r w:rsidR="00A946DC" w:rsidRPr="00A371FD">
        <w:rPr>
          <w:sz w:val="22"/>
          <w:szCs w:val="22"/>
        </w:rPr>
        <w:t>G</w:t>
      </w:r>
      <w:r w:rsidR="009D774C" w:rsidRPr="00A371FD">
        <w:rPr>
          <w:sz w:val="22"/>
          <w:szCs w:val="22"/>
        </w:rPr>
        <w:t>eometric</w:t>
      </w:r>
      <w:r w:rsidR="00A946DC" w:rsidRPr="00A371FD">
        <w:rPr>
          <w:sz w:val="22"/>
          <w:szCs w:val="22"/>
        </w:rPr>
        <w:t xml:space="preserve"> and material</w:t>
      </w:r>
      <w:r w:rsidR="009D774C" w:rsidRPr="00A371FD">
        <w:rPr>
          <w:sz w:val="22"/>
          <w:szCs w:val="22"/>
        </w:rPr>
        <w:t xml:space="preserve"> parameters of the core were prepared based on the publications </w:t>
      </w:r>
      <w:r w:rsidR="009D774C" w:rsidRPr="00775574">
        <w:rPr>
          <w:sz w:val="22"/>
          <w:szCs w:val="22"/>
        </w:rPr>
        <w:t xml:space="preserve">"Simulations of  the  AP1000-based reactor core with Serpent code" [8] and </w:t>
      </w:r>
      <w:r w:rsidR="00335EDF" w:rsidRPr="00775574">
        <w:rPr>
          <w:sz w:val="22"/>
          <w:szCs w:val="22"/>
        </w:rPr>
        <w:t>“</w:t>
      </w:r>
      <w:r w:rsidR="009D774C" w:rsidRPr="00775574">
        <w:rPr>
          <w:sz w:val="22"/>
          <w:szCs w:val="22"/>
        </w:rPr>
        <w:t>AP1000 Design Control Document</w:t>
      </w:r>
      <w:r w:rsidR="00335EDF" w:rsidRPr="00775574">
        <w:rPr>
          <w:sz w:val="22"/>
          <w:szCs w:val="22"/>
        </w:rPr>
        <w:t>”</w:t>
      </w:r>
      <w:r w:rsidR="009D774C" w:rsidRPr="00775574">
        <w:rPr>
          <w:sz w:val="22"/>
          <w:szCs w:val="22"/>
        </w:rPr>
        <w:t xml:space="preserve"> [9].</w:t>
      </w:r>
      <w:r w:rsidR="009D774C" w:rsidRPr="00A371FD">
        <w:rPr>
          <w:sz w:val="22"/>
          <w:szCs w:val="22"/>
        </w:rPr>
        <w:t xml:space="preserve"> </w:t>
      </w:r>
    </w:p>
    <w:p w14:paraId="7AB77EDC" w14:textId="28AA31A1" w:rsidR="00A83E6C" w:rsidRPr="00A371FD" w:rsidRDefault="00A322DA" w:rsidP="00A83E6C">
      <w:pPr>
        <w:pStyle w:val="Tekstpodstawowywcity"/>
        <w:rPr>
          <w:sz w:val="22"/>
          <w:szCs w:val="22"/>
        </w:rPr>
      </w:pPr>
      <w:r w:rsidRPr="00A371FD">
        <w:rPr>
          <w:sz w:val="22"/>
          <w:szCs w:val="22"/>
        </w:rPr>
        <w:t xml:space="preserve">The basic </w:t>
      </w:r>
      <w:r w:rsidR="0016226A" w:rsidRPr="00A371FD">
        <w:rPr>
          <w:sz w:val="22"/>
          <w:szCs w:val="22"/>
        </w:rPr>
        <w:t>element</w:t>
      </w:r>
      <w:r w:rsidR="00197D3D" w:rsidRPr="00A371FD">
        <w:rPr>
          <w:sz w:val="22"/>
          <w:szCs w:val="22"/>
        </w:rPr>
        <w:t>s</w:t>
      </w:r>
      <w:r w:rsidRPr="00A371FD">
        <w:rPr>
          <w:sz w:val="22"/>
          <w:szCs w:val="22"/>
        </w:rPr>
        <w:t xml:space="preserve"> of nuclear fuel in AP1000 reactors are fuel pellets made of low</w:t>
      </w:r>
      <w:r w:rsidR="00006D9C" w:rsidRPr="00A371FD">
        <w:rPr>
          <w:sz w:val="22"/>
          <w:szCs w:val="22"/>
        </w:rPr>
        <w:t>-</w:t>
      </w:r>
      <w:r w:rsidRPr="00A371FD">
        <w:rPr>
          <w:sz w:val="22"/>
          <w:szCs w:val="22"/>
        </w:rPr>
        <w:t>enriched uranium dioxide</w:t>
      </w:r>
      <w:r w:rsidR="00943805" w:rsidRPr="00A371FD">
        <w:rPr>
          <w:sz w:val="22"/>
          <w:szCs w:val="22"/>
        </w:rPr>
        <w:t xml:space="preserve"> UO</w:t>
      </w:r>
      <w:r w:rsidR="00943805" w:rsidRPr="00CB2146">
        <w:rPr>
          <w:sz w:val="22"/>
          <w:szCs w:val="22"/>
          <w:vertAlign w:val="subscript"/>
        </w:rPr>
        <w:t>2</w:t>
      </w:r>
      <w:r w:rsidRPr="00A371FD">
        <w:rPr>
          <w:sz w:val="22"/>
          <w:szCs w:val="22"/>
        </w:rPr>
        <w:t xml:space="preserve">. For simplification, the nuclear fuel in the model was created in the form of homogeneous cylinders with no division into fuel pellets. </w:t>
      </w:r>
      <w:r w:rsidR="009D774C" w:rsidRPr="00A371FD">
        <w:rPr>
          <w:sz w:val="22"/>
          <w:szCs w:val="22"/>
        </w:rPr>
        <w:t xml:space="preserve">Cylindrical </w:t>
      </w:r>
      <w:r w:rsidR="009D774C" w:rsidRPr="00A371FD">
        <w:rPr>
          <w:sz w:val="22"/>
          <w:szCs w:val="22"/>
        </w:rPr>
        <w:t xml:space="preserve">fuel rods, </w:t>
      </w:r>
      <w:r w:rsidR="00FA40A2" w:rsidRPr="00A371FD">
        <w:rPr>
          <w:sz w:val="22"/>
          <w:szCs w:val="22"/>
        </w:rPr>
        <w:t>control</w:t>
      </w:r>
      <w:r w:rsidR="003A4B0E" w:rsidRPr="00A371FD">
        <w:rPr>
          <w:sz w:val="22"/>
          <w:szCs w:val="22"/>
        </w:rPr>
        <w:t xml:space="preserve"> rod</w:t>
      </w:r>
      <w:r w:rsidR="003C0A8A" w:rsidRPr="00A371FD">
        <w:rPr>
          <w:sz w:val="22"/>
          <w:szCs w:val="22"/>
        </w:rPr>
        <w:t xml:space="preserve"> guide</w:t>
      </w:r>
      <w:r w:rsidR="00FA40A2" w:rsidRPr="00A371FD">
        <w:rPr>
          <w:sz w:val="22"/>
          <w:szCs w:val="22"/>
        </w:rPr>
        <w:t xml:space="preserve"> thimbles</w:t>
      </w:r>
      <w:r w:rsidR="00006D9C" w:rsidRPr="00A371FD">
        <w:rPr>
          <w:sz w:val="22"/>
          <w:szCs w:val="22"/>
        </w:rPr>
        <w:t>,</w:t>
      </w:r>
      <w:r w:rsidR="009D774C" w:rsidRPr="00A371FD">
        <w:rPr>
          <w:sz w:val="22"/>
          <w:szCs w:val="22"/>
        </w:rPr>
        <w:t xml:space="preserve"> and </w:t>
      </w:r>
      <w:r w:rsidR="00FA40A2" w:rsidRPr="00A371FD">
        <w:rPr>
          <w:sz w:val="22"/>
          <w:szCs w:val="22"/>
        </w:rPr>
        <w:t xml:space="preserve">in-core </w:t>
      </w:r>
      <w:r w:rsidR="009D774C" w:rsidRPr="00A371FD">
        <w:rPr>
          <w:sz w:val="22"/>
          <w:szCs w:val="22"/>
        </w:rPr>
        <w:t>instrumentation guide</w:t>
      </w:r>
      <w:r w:rsidR="003E44AE" w:rsidRPr="00A371FD">
        <w:rPr>
          <w:sz w:val="22"/>
          <w:szCs w:val="22"/>
        </w:rPr>
        <w:t xml:space="preserve"> thimbles</w:t>
      </w:r>
      <w:r w:rsidR="009D774C" w:rsidRPr="00A371FD">
        <w:rPr>
          <w:sz w:val="22"/>
          <w:szCs w:val="22"/>
        </w:rPr>
        <w:t xml:space="preserve"> were model</w:t>
      </w:r>
      <w:r w:rsidR="00006D9C" w:rsidRPr="00A371FD">
        <w:rPr>
          <w:sz w:val="22"/>
          <w:szCs w:val="22"/>
        </w:rPr>
        <w:t>l</w:t>
      </w:r>
      <w:r w:rsidR="009D774C" w:rsidRPr="00A371FD">
        <w:rPr>
          <w:sz w:val="22"/>
          <w:szCs w:val="22"/>
        </w:rPr>
        <w:t xml:space="preserve">ed first. </w:t>
      </w:r>
      <w:r w:rsidR="00FF5795" w:rsidRPr="00A371FD">
        <w:rPr>
          <w:sz w:val="22"/>
          <w:szCs w:val="22"/>
        </w:rPr>
        <w:t>The</w:t>
      </w:r>
      <w:r w:rsidR="00312ABB" w:rsidRPr="00A371FD">
        <w:rPr>
          <w:sz w:val="22"/>
          <w:szCs w:val="22"/>
        </w:rPr>
        <w:t xml:space="preserve"> parameters of the</w:t>
      </w:r>
      <w:r w:rsidR="00FF5795" w:rsidRPr="00A371FD">
        <w:rPr>
          <w:sz w:val="22"/>
          <w:szCs w:val="22"/>
        </w:rPr>
        <w:t xml:space="preserve"> cladding </w:t>
      </w:r>
      <w:r w:rsidR="00312ABB" w:rsidRPr="00A371FD">
        <w:rPr>
          <w:sz w:val="22"/>
          <w:szCs w:val="22"/>
        </w:rPr>
        <w:t xml:space="preserve">were set in order to simulate </w:t>
      </w:r>
      <w:r w:rsidR="00006D9C" w:rsidRPr="00A371FD">
        <w:rPr>
          <w:sz w:val="22"/>
          <w:szCs w:val="22"/>
        </w:rPr>
        <w:t>ZIRLO</w:t>
      </w:r>
      <w:r w:rsidR="00006D9C" w:rsidRPr="00A371FD">
        <w:t xml:space="preserve"> </w:t>
      </w:r>
      <w:r w:rsidR="005404BD" w:rsidRPr="00C84E8C">
        <w:rPr>
          <w:sz w:val="22"/>
          <w:szCs w:val="22"/>
        </w:rPr>
        <w:t xml:space="preserve">material </w:t>
      </w:r>
      <w:r w:rsidR="00006D9C" w:rsidRPr="00A371FD">
        <w:t xml:space="preserve">- </w:t>
      </w:r>
      <w:r w:rsidR="00006D9C" w:rsidRPr="00A371FD">
        <w:rPr>
          <w:sz w:val="22"/>
          <w:szCs w:val="22"/>
        </w:rPr>
        <w:t>proprietary, optimi</w:t>
      </w:r>
      <w:r w:rsidR="00C45C0D">
        <w:rPr>
          <w:sz w:val="22"/>
          <w:szCs w:val="22"/>
        </w:rPr>
        <w:t>z</w:t>
      </w:r>
      <w:r w:rsidR="00006D9C" w:rsidRPr="00A371FD">
        <w:rPr>
          <w:sz w:val="22"/>
          <w:szCs w:val="22"/>
        </w:rPr>
        <w:t xml:space="preserve">ed </w:t>
      </w:r>
      <w:r w:rsidR="006672D0" w:rsidRPr="00A371FD">
        <w:rPr>
          <w:sz w:val="22"/>
          <w:szCs w:val="22"/>
        </w:rPr>
        <w:t>zirconium</w:t>
      </w:r>
      <w:r w:rsidR="00006D9C" w:rsidRPr="003C6F28">
        <w:rPr>
          <w:sz w:val="22"/>
          <w:szCs w:val="22"/>
        </w:rPr>
        <w:t>-based</w:t>
      </w:r>
      <w:r w:rsidR="006672D0" w:rsidRPr="00A371FD">
        <w:rPr>
          <w:sz w:val="22"/>
          <w:szCs w:val="22"/>
        </w:rPr>
        <w:t xml:space="preserve"> alloy that was developed by the Westinghouse Electric Company. </w:t>
      </w:r>
      <w:r w:rsidR="00EE3F7B" w:rsidRPr="00A371FD">
        <w:rPr>
          <w:sz w:val="22"/>
          <w:szCs w:val="22"/>
        </w:rPr>
        <w:t xml:space="preserve">The same material was used to </w:t>
      </w:r>
      <w:r w:rsidR="00312ABB" w:rsidRPr="00A371FD">
        <w:rPr>
          <w:sz w:val="22"/>
          <w:szCs w:val="22"/>
        </w:rPr>
        <w:t xml:space="preserve">simulate </w:t>
      </w:r>
      <w:r w:rsidR="00EE3F7B" w:rsidRPr="00A371FD">
        <w:rPr>
          <w:sz w:val="22"/>
          <w:szCs w:val="22"/>
        </w:rPr>
        <w:t>the cladding for the guide</w:t>
      </w:r>
      <w:r w:rsidR="00344B6C" w:rsidRPr="00A371FD">
        <w:rPr>
          <w:sz w:val="22"/>
          <w:szCs w:val="22"/>
        </w:rPr>
        <w:t xml:space="preserve"> thimbles</w:t>
      </w:r>
      <w:r w:rsidR="00EE3F7B" w:rsidRPr="00A371FD">
        <w:rPr>
          <w:sz w:val="22"/>
          <w:szCs w:val="22"/>
        </w:rPr>
        <w:t xml:space="preserve">. </w:t>
      </w:r>
      <w:r w:rsidR="00A83E6C" w:rsidRPr="00A371FD">
        <w:rPr>
          <w:sz w:val="22"/>
          <w:szCs w:val="22"/>
        </w:rPr>
        <w:t>The gap between the fuel and cladding layer was filled with helium.</w:t>
      </w:r>
    </w:p>
    <w:p w14:paraId="7444CFC4" w14:textId="462B004E" w:rsidR="00484DC3" w:rsidRPr="00C45C0D" w:rsidRDefault="00FD735C" w:rsidP="00A83E6C">
      <w:pPr>
        <w:pStyle w:val="Tekstpodstawowywcity"/>
        <w:rPr>
          <w:sz w:val="22"/>
          <w:szCs w:val="22"/>
        </w:rPr>
      </w:pPr>
      <w:r w:rsidRPr="00C45C0D">
        <w:rPr>
          <w:noProof/>
        </w:rPr>
        <w:drawing>
          <wp:inline distT="0" distB="0" distL="0" distR="0" wp14:anchorId="3E0E4B48" wp14:editId="456AED2F">
            <wp:extent cx="2279015" cy="11334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3"/>
                    <a:stretch>
                      <a:fillRect/>
                    </a:stretch>
                  </pic:blipFill>
                  <pic:spPr bwMode="auto">
                    <a:xfrm>
                      <a:off x="0" y="0"/>
                      <a:ext cx="2279015" cy="1133475"/>
                    </a:xfrm>
                    <a:prstGeom prst="rect">
                      <a:avLst/>
                    </a:prstGeom>
                  </pic:spPr>
                </pic:pic>
              </a:graphicData>
            </a:graphic>
          </wp:inline>
        </w:drawing>
      </w:r>
    </w:p>
    <w:p w14:paraId="1D687CED" w14:textId="14A2A8FB" w:rsidR="001A3643" w:rsidRPr="00C45C0D" w:rsidRDefault="00C61D84" w:rsidP="00E53D6E">
      <w:pPr>
        <w:pStyle w:val="Tekstpodstawowywcity"/>
        <w:ind w:firstLine="0"/>
        <w:rPr>
          <w:i/>
          <w:iCs/>
        </w:rPr>
      </w:pPr>
      <w:r w:rsidRPr="00C45C0D">
        <w:rPr>
          <w:i/>
          <w:iCs/>
        </w:rPr>
        <w:t>Fig. 1. Cross-section in the xy plane of the fuel rod and the control rod/instrumentation guide (green – fuel, white – helium, blue – water, gr</w:t>
      </w:r>
      <w:r w:rsidR="00446C88">
        <w:rPr>
          <w:i/>
          <w:iCs/>
        </w:rPr>
        <w:t>a</w:t>
      </w:r>
      <w:r w:rsidRPr="00C45C0D">
        <w:rPr>
          <w:i/>
          <w:iCs/>
        </w:rPr>
        <w:t>y – ZIRLO).</w:t>
      </w:r>
    </w:p>
    <w:p w14:paraId="6312A850" w14:textId="77777777" w:rsidR="001A3643" w:rsidRPr="00C45C0D" w:rsidRDefault="001A3643">
      <w:pPr>
        <w:pStyle w:val="Tekstpodstawowywcity"/>
        <w:jc w:val="center"/>
        <w:rPr>
          <w:sz w:val="22"/>
          <w:szCs w:val="22"/>
        </w:rPr>
      </w:pPr>
    </w:p>
    <w:p w14:paraId="60A71E9D" w14:textId="27924381" w:rsidR="00303148" w:rsidRPr="00C45C0D" w:rsidRDefault="00BD1660" w:rsidP="00630ABA">
      <w:pPr>
        <w:pStyle w:val="Tekstpodstawowywcity"/>
        <w:ind w:firstLine="357"/>
        <w:rPr>
          <w:sz w:val="22"/>
          <w:szCs w:val="22"/>
        </w:rPr>
      </w:pPr>
      <w:r w:rsidRPr="00C45C0D">
        <w:rPr>
          <w:sz w:val="22"/>
          <w:szCs w:val="22"/>
        </w:rPr>
        <w:t>Afterwards, fuel assemblies</w:t>
      </w:r>
      <w:r w:rsidR="002C5294" w:rsidRPr="00C45C0D">
        <w:rPr>
          <w:sz w:val="22"/>
          <w:szCs w:val="22"/>
        </w:rPr>
        <w:t xml:space="preserve"> based on the RFA-2 design</w:t>
      </w:r>
      <w:r w:rsidRPr="00C45C0D">
        <w:rPr>
          <w:sz w:val="22"/>
          <w:szCs w:val="22"/>
        </w:rPr>
        <w:t xml:space="preserve"> were </w:t>
      </w:r>
      <w:r w:rsidR="00312ABB" w:rsidRPr="00A371FD">
        <w:rPr>
          <w:sz w:val="22"/>
          <w:szCs w:val="22"/>
        </w:rPr>
        <w:t>added</w:t>
      </w:r>
      <w:r w:rsidRPr="00C45C0D">
        <w:rPr>
          <w:sz w:val="22"/>
          <w:szCs w:val="22"/>
        </w:rPr>
        <w:t>. The presented core model uses one type of fuel assembl</w:t>
      </w:r>
      <w:r w:rsidR="00312ABB" w:rsidRPr="00A371FD">
        <w:rPr>
          <w:sz w:val="22"/>
          <w:szCs w:val="22"/>
        </w:rPr>
        <w:t>ies for the</w:t>
      </w:r>
      <w:r w:rsidRPr="00C45C0D">
        <w:rPr>
          <w:sz w:val="22"/>
          <w:szCs w:val="22"/>
        </w:rPr>
        <w:t xml:space="preserve"> </w:t>
      </w:r>
      <w:r w:rsidR="004E76F6" w:rsidRPr="00C45C0D">
        <w:rPr>
          <w:sz w:val="22"/>
          <w:szCs w:val="22"/>
        </w:rPr>
        <w:t>lattice</w:t>
      </w:r>
      <w:r w:rsidRPr="00C45C0D">
        <w:rPr>
          <w:sz w:val="22"/>
          <w:szCs w:val="22"/>
        </w:rPr>
        <w:t xml:space="preserve">, which is referred to as "0 IFBA, 0 Pyrex," </w:t>
      </w:r>
      <w:r w:rsidR="00F671EE" w:rsidRPr="00C45C0D">
        <w:rPr>
          <w:sz w:val="22"/>
          <w:szCs w:val="22"/>
        </w:rPr>
        <w:t>with</w:t>
      </w:r>
      <w:r w:rsidRPr="00C45C0D">
        <w:rPr>
          <w:sz w:val="22"/>
          <w:szCs w:val="22"/>
        </w:rPr>
        <w:t xml:space="preserve"> a square shape </w:t>
      </w:r>
      <w:r w:rsidR="0019134A" w:rsidRPr="00C45C0D">
        <w:rPr>
          <w:sz w:val="22"/>
          <w:szCs w:val="22"/>
        </w:rPr>
        <w:t xml:space="preserve">17x17 rod </w:t>
      </w:r>
      <w:r w:rsidR="004E76F6" w:rsidRPr="00C45C0D">
        <w:rPr>
          <w:sz w:val="22"/>
          <w:szCs w:val="22"/>
        </w:rPr>
        <w:t>array</w:t>
      </w:r>
      <w:r w:rsidRPr="00C45C0D">
        <w:rPr>
          <w:sz w:val="22"/>
          <w:szCs w:val="22"/>
        </w:rPr>
        <w:t xml:space="preserve">. It </w:t>
      </w:r>
      <w:r w:rsidR="005404BD" w:rsidRPr="00A371FD">
        <w:rPr>
          <w:sz w:val="22"/>
          <w:szCs w:val="22"/>
        </w:rPr>
        <w:t>comprises</w:t>
      </w:r>
      <w:r w:rsidRPr="00C45C0D">
        <w:rPr>
          <w:sz w:val="22"/>
          <w:szCs w:val="22"/>
        </w:rPr>
        <w:t xml:space="preserve"> 264 fuel rods with appropriate enrichment, 24 rod</w:t>
      </w:r>
      <w:r w:rsidR="0030453C" w:rsidRPr="00C45C0D">
        <w:rPr>
          <w:sz w:val="22"/>
          <w:szCs w:val="22"/>
        </w:rPr>
        <w:t xml:space="preserve"> cluster</w:t>
      </w:r>
      <w:r w:rsidRPr="00C45C0D">
        <w:rPr>
          <w:sz w:val="22"/>
          <w:szCs w:val="22"/>
        </w:rPr>
        <w:t xml:space="preserve"> </w:t>
      </w:r>
      <w:r w:rsidR="0030453C" w:rsidRPr="00C45C0D">
        <w:rPr>
          <w:sz w:val="22"/>
          <w:szCs w:val="22"/>
        </w:rPr>
        <w:t>control thimbles</w:t>
      </w:r>
      <w:r w:rsidR="005404BD" w:rsidRPr="00A371FD">
        <w:rPr>
          <w:sz w:val="22"/>
          <w:szCs w:val="22"/>
        </w:rPr>
        <w:t>,</w:t>
      </w:r>
      <w:r w:rsidRPr="00C45C0D">
        <w:rPr>
          <w:sz w:val="22"/>
          <w:szCs w:val="22"/>
        </w:rPr>
        <w:t xml:space="preserve"> and 1 </w:t>
      </w:r>
      <w:r w:rsidR="00D74EAD" w:rsidRPr="00C45C0D">
        <w:rPr>
          <w:sz w:val="22"/>
          <w:szCs w:val="22"/>
        </w:rPr>
        <w:br/>
      </w:r>
      <w:r w:rsidR="00C650CA" w:rsidRPr="00C45C0D">
        <w:rPr>
          <w:sz w:val="22"/>
          <w:szCs w:val="22"/>
        </w:rPr>
        <w:t xml:space="preserve">in-core </w:t>
      </w:r>
      <w:r w:rsidRPr="00C45C0D">
        <w:rPr>
          <w:sz w:val="22"/>
          <w:szCs w:val="22"/>
        </w:rPr>
        <w:t xml:space="preserve">instrumentation </w:t>
      </w:r>
      <w:r w:rsidR="00AA0EDD" w:rsidRPr="00C45C0D">
        <w:rPr>
          <w:sz w:val="22"/>
          <w:szCs w:val="22"/>
        </w:rPr>
        <w:t>thimble</w:t>
      </w:r>
      <w:r w:rsidRPr="00C45C0D">
        <w:rPr>
          <w:sz w:val="22"/>
          <w:szCs w:val="22"/>
        </w:rPr>
        <w:t>, which is located in the central part of the assembly. In addition to the most elementary lattice, the technology provider recogni</w:t>
      </w:r>
      <w:r w:rsidR="00CA5C57">
        <w:rPr>
          <w:sz w:val="22"/>
          <w:szCs w:val="22"/>
        </w:rPr>
        <w:t>z</w:t>
      </w:r>
      <w:r w:rsidRPr="00C45C0D">
        <w:rPr>
          <w:sz w:val="22"/>
          <w:szCs w:val="22"/>
        </w:rPr>
        <w:t xml:space="preserve">es the other 8 fuel assembly lattices that are used during the first fuel cycle. At the beginning of the first fuel cycle, IFBA rods with burnable absorbers, such as borosilicate glass tubes, are inserted into </w:t>
      </w:r>
      <w:r w:rsidR="005404BD" w:rsidRPr="00A371FD">
        <w:rPr>
          <w:sz w:val="22"/>
          <w:szCs w:val="22"/>
        </w:rPr>
        <w:t>selected</w:t>
      </w:r>
      <w:r w:rsidR="005404BD" w:rsidRPr="00C45C0D">
        <w:rPr>
          <w:sz w:val="22"/>
          <w:szCs w:val="22"/>
        </w:rPr>
        <w:t xml:space="preserve"> </w:t>
      </w:r>
      <w:r w:rsidRPr="00C45C0D">
        <w:rPr>
          <w:sz w:val="22"/>
          <w:szCs w:val="22"/>
        </w:rPr>
        <w:t>guide</w:t>
      </w:r>
      <w:r w:rsidR="00165D1B" w:rsidRPr="00C45C0D">
        <w:rPr>
          <w:sz w:val="22"/>
          <w:szCs w:val="22"/>
        </w:rPr>
        <w:t xml:space="preserve"> thi</w:t>
      </w:r>
      <w:r w:rsidR="00561258" w:rsidRPr="00C45C0D">
        <w:rPr>
          <w:sz w:val="22"/>
          <w:szCs w:val="22"/>
        </w:rPr>
        <w:t>mbles</w:t>
      </w:r>
      <w:r w:rsidRPr="00C45C0D">
        <w:rPr>
          <w:sz w:val="22"/>
          <w:szCs w:val="22"/>
        </w:rPr>
        <w:t>. These provide better control of excess reactivity</w:t>
      </w:r>
      <w:r w:rsidR="00C619D5" w:rsidRPr="00C45C0D">
        <w:rPr>
          <w:sz w:val="22"/>
          <w:szCs w:val="22"/>
        </w:rPr>
        <w:t xml:space="preserve"> </w:t>
      </w:r>
      <w:r w:rsidRPr="00C45C0D">
        <w:rPr>
          <w:sz w:val="22"/>
          <w:szCs w:val="22"/>
        </w:rPr>
        <w:t>at the</w:t>
      </w:r>
      <w:r w:rsidR="00EE43B3" w:rsidRPr="00C45C0D">
        <w:rPr>
          <w:sz w:val="22"/>
          <w:szCs w:val="22"/>
        </w:rPr>
        <w:t xml:space="preserve"> </w:t>
      </w:r>
      <w:r w:rsidRPr="00C45C0D">
        <w:rPr>
          <w:sz w:val="22"/>
          <w:szCs w:val="22"/>
        </w:rPr>
        <w:t>beginning of the cycle.</w:t>
      </w:r>
      <w:r w:rsidR="005404BD" w:rsidRPr="00A371FD">
        <w:rPr>
          <w:sz w:val="22"/>
          <w:szCs w:val="22"/>
        </w:rPr>
        <w:t xml:space="preserve"> </w:t>
      </w:r>
      <w:r w:rsidRPr="00C45C0D">
        <w:rPr>
          <w:sz w:val="22"/>
          <w:szCs w:val="22"/>
        </w:rPr>
        <w:t>For</w:t>
      </w:r>
      <w:r w:rsidR="005404BD" w:rsidRPr="00A371FD">
        <w:rPr>
          <w:sz w:val="22"/>
          <w:szCs w:val="22"/>
        </w:rPr>
        <w:t xml:space="preserve"> </w:t>
      </w:r>
      <w:r w:rsidRPr="00C45C0D">
        <w:rPr>
          <w:sz w:val="22"/>
          <w:szCs w:val="22"/>
        </w:rPr>
        <w:t>simplificatio</w:t>
      </w:r>
      <w:r w:rsidR="005404BD" w:rsidRPr="00A371FD">
        <w:rPr>
          <w:sz w:val="22"/>
          <w:szCs w:val="22"/>
        </w:rPr>
        <w:t>n</w:t>
      </w:r>
      <w:r w:rsidRPr="00C45C0D">
        <w:rPr>
          <w:sz w:val="22"/>
          <w:szCs w:val="22"/>
        </w:rPr>
        <w:t>, the model did not involve specific rod geometries such as IFBA and Pyrex.</w:t>
      </w:r>
    </w:p>
    <w:p w14:paraId="71EF4763" w14:textId="77777777" w:rsidR="000C5A40" w:rsidRPr="00C45C0D" w:rsidRDefault="000C5A40" w:rsidP="000C5A40">
      <w:pPr>
        <w:pStyle w:val="Tekstpodstawowywcity"/>
        <w:rPr>
          <w:sz w:val="22"/>
          <w:szCs w:val="22"/>
        </w:rPr>
      </w:pPr>
    </w:p>
    <w:p w14:paraId="2C463479" w14:textId="121FE4DF" w:rsidR="000C5A40" w:rsidRPr="00C45C0D" w:rsidRDefault="00CD70F4" w:rsidP="00BD2AF9">
      <w:pPr>
        <w:pStyle w:val="Tekstpodstawowywcity"/>
        <w:rPr>
          <w:sz w:val="22"/>
          <w:szCs w:val="22"/>
        </w:rPr>
      </w:pPr>
      <w:r w:rsidRPr="00C45C0D">
        <w:rPr>
          <w:noProof/>
        </w:rPr>
        <w:drawing>
          <wp:inline distT="0" distB="0" distL="0" distR="0" wp14:anchorId="6C9BED17" wp14:editId="34E38065">
            <wp:extent cx="2381250" cy="1142365"/>
            <wp:effectExtent l="0" t="0" r="0" b="0"/>
            <wp:docPr id="1759447503" name="Obraz 1759447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4"/>
                    <a:stretch>
                      <a:fillRect/>
                    </a:stretch>
                  </pic:blipFill>
                  <pic:spPr bwMode="auto">
                    <a:xfrm>
                      <a:off x="0" y="0"/>
                      <a:ext cx="2381250" cy="1142365"/>
                    </a:xfrm>
                    <a:prstGeom prst="rect">
                      <a:avLst/>
                    </a:prstGeom>
                  </pic:spPr>
                </pic:pic>
              </a:graphicData>
            </a:graphic>
          </wp:inline>
        </w:drawing>
      </w:r>
    </w:p>
    <w:p w14:paraId="313C59DD" w14:textId="15E685C3" w:rsidR="00303148" w:rsidRPr="00C45C0D" w:rsidRDefault="00CD70F4" w:rsidP="00CD70F4">
      <w:pPr>
        <w:pStyle w:val="Tekstpodstawowywcity"/>
        <w:ind w:firstLine="0"/>
        <w:rPr>
          <w:i/>
          <w:iCs/>
        </w:rPr>
      </w:pPr>
      <w:r w:rsidRPr="00C45C0D">
        <w:rPr>
          <w:i/>
          <w:iCs/>
        </w:rPr>
        <w:t xml:space="preserve">Fig. 2. Cross-section in the xy and xz planes of the fuel assembly (green – fuel, blue – water, </w:t>
      </w:r>
      <w:r w:rsidR="005404BD" w:rsidRPr="00C45C0D">
        <w:rPr>
          <w:i/>
          <w:iCs/>
        </w:rPr>
        <w:t>gr</w:t>
      </w:r>
      <w:r w:rsidR="004F4E0D">
        <w:rPr>
          <w:i/>
          <w:iCs/>
        </w:rPr>
        <w:t>a</w:t>
      </w:r>
      <w:r w:rsidR="005404BD" w:rsidRPr="00C45C0D">
        <w:rPr>
          <w:i/>
          <w:iCs/>
        </w:rPr>
        <w:t xml:space="preserve">y </w:t>
      </w:r>
      <w:r w:rsidRPr="00C45C0D">
        <w:rPr>
          <w:i/>
          <w:iCs/>
        </w:rPr>
        <w:t>– ZIRLO).</w:t>
      </w:r>
    </w:p>
    <w:p w14:paraId="6961052B" w14:textId="77777777" w:rsidR="00303148" w:rsidRPr="00C45C0D" w:rsidRDefault="00303148">
      <w:pPr>
        <w:pStyle w:val="Tekstpodstawowywcity"/>
        <w:jc w:val="center"/>
        <w:rPr>
          <w:sz w:val="22"/>
          <w:szCs w:val="22"/>
        </w:rPr>
      </w:pPr>
    </w:p>
    <w:p w14:paraId="3DCFE90B" w14:textId="0C6CC900" w:rsidR="00254247" w:rsidRPr="00C45C0D" w:rsidRDefault="0032072E" w:rsidP="00630ABA">
      <w:pPr>
        <w:pStyle w:val="Tekstpodstawowywcity"/>
        <w:ind w:firstLine="357"/>
        <w:rPr>
          <w:sz w:val="22"/>
          <w:szCs w:val="22"/>
        </w:rPr>
      </w:pPr>
      <w:r w:rsidRPr="00C45C0D">
        <w:rPr>
          <w:sz w:val="22"/>
          <w:szCs w:val="22"/>
        </w:rPr>
        <w:t xml:space="preserve">The core model consists of 157 fuel assemblies divided into three enrichment regions. At the first </w:t>
      </w:r>
      <w:r w:rsidR="00EF465B" w:rsidRPr="00C45C0D">
        <w:rPr>
          <w:sz w:val="22"/>
          <w:szCs w:val="22"/>
        </w:rPr>
        <w:t>reactor</w:t>
      </w:r>
      <w:r w:rsidRPr="00C45C0D">
        <w:rPr>
          <w:sz w:val="22"/>
          <w:szCs w:val="22"/>
        </w:rPr>
        <w:t xml:space="preserve"> cycle, assemblies with the highest enrichment </w:t>
      </w:r>
      <w:r w:rsidRPr="00C45C0D">
        <w:rPr>
          <w:sz w:val="22"/>
          <w:szCs w:val="22"/>
        </w:rPr>
        <w:lastRenderedPageBreak/>
        <w:t xml:space="preserve">at 4.45% are placed in the peripheral region of the core. The inner part of the core uses a </w:t>
      </w:r>
      <w:r w:rsidR="009C580C" w:rsidRPr="00C45C0D">
        <w:rPr>
          <w:sz w:val="22"/>
          <w:szCs w:val="22"/>
        </w:rPr>
        <w:t>checkerboard</w:t>
      </w:r>
      <w:r w:rsidRPr="00C45C0D">
        <w:rPr>
          <w:sz w:val="22"/>
          <w:szCs w:val="22"/>
        </w:rPr>
        <w:t xml:space="preserve"> pattern and consists of assemblies with enrichments </w:t>
      </w:r>
      <w:r w:rsidR="005404BD" w:rsidRPr="00A371FD">
        <w:rPr>
          <w:sz w:val="22"/>
          <w:szCs w:val="22"/>
        </w:rPr>
        <w:t>at 2.35</w:t>
      </w:r>
      <w:r w:rsidRPr="00C45C0D">
        <w:rPr>
          <w:sz w:val="22"/>
          <w:szCs w:val="22"/>
        </w:rPr>
        <w:t xml:space="preserve">% and 3.40%. The peripheral part of the core was surrounded </w:t>
      </w:r>
      <w:r w:rsidR="005404BD" w:rsidRPr="00A371FD">
        <w:rPr>
          <w:sz w:val="22"/>
          <w:szCs w:val="22"/>
        </w:rPr>
        <w:t>with</w:t>
      </w:r>
      <w:r w:rsidRPr="00C45C0D">
        <w:rPr>
          <w:sz w:val="22"/>
          <w:szCs w:val="22"/>
        </w:rPr>
        <w:t xml:space="preserve"> a core basket with simplified geometry and did not include baffle plates and bolts. </w:t>
      </w:r>
      <w:r w:rsidR="00312ABB" w:rsidRPr="00A371FD">
        <w:rPr>
          <w:sz w:val="22"/>
          <w:szCs w:val="22"/>
        </w:rPr>
        <w:t>This simplification was performed due to time constraints and the</w:t>
      </w:r>
      <w:r w:rsidRPr="00C45C0D">
        <w:rPr>
          <w:sz w:val="22"/>
          <w:szCs w:val="22"/>
        </w:rPr>
        <w:t xml:space="preserve"> lack of their use does not affect the simulation results. The</w:t>
      </w:r>
      <w:r w:rsidR="008402BB" w:rsidRPr="00C45C0D">
        <w:rPr>
          <w:sz w:val="22"/>
          <w:szCs w:val="22"/>
        </w:rPr>
        <w:t> </w:t>
      </w:r>
      <w:r w:rsidRPr="00C45C0D">
        <w:rPr>
          <w:sz w:val="22"/>
          <w:szCs w:val="22"/>
        </w:rPr>
        <w:t>height of the active part of the core is 426.720 cm, while its width measures 304.038 cm. Above the lower and upper parts of the active core, three layers consisting of an inlet and outlet region, lower and upper reflectors</w:t>
      </w:r>
      <w:r w:rsidR="005404BD" w:rsidRPr="00A371FD">
        <w:rPr>
          <w:sz w:val="22"/>
          <w:szCs w:val="22"/>
        </w:rPr>
        <w:t>,</w:t>
      </w:r>
      <w:r w:rsidRPr="00C45C0D">
        <w:rPr>
          <w:sz w:val="22"/>
          <w:szCs w:val="22"/>
        </w:rPr>
        <w:t xml:space="preserve"> and water were model</w:t>
      </w:r>
      <w:r w:rsidR="005404BD" w:rsidRPr="00A371FD">
        <w:rPr>
          <w:sz w:val="22"/>
          <w:szCs w:val="22"/>
        </w:rPr>
        <w:t>l</w:t>
      </w:r>
      <w:r w:rsidRPr="00C45C0D">
        <w:rPr>
          <w:sz w:val="22"/>
          <w:szCs w:val="22"/>
        </w:rPr>
        <w:t xml:space="preserve">ed sequentially. The reflectors were developed as a mixture of 50% water and 50% 304 stainless steel. </w:t>
      </w:r>
      <w:r w:rsidR="005404BD" w:rsidRPr="00A371FD">
        <w:rPr>
          <w:sz w:val="22"/>
          <w:szCs w:val="22"/>
        </w:rPr>
        <w:t>Similarly,</w:t>
      </w:r>
      <w:r w:rsidRPr="00C45C0D">
        <w:rPr>
          <w:sz w:val="22"/>
          <w:szCs w:val="22"/>
        </w:rPr>
        <w:t xml:space="preserve"> the inlet and outlet regions consist of 70% water and 30% SS304. The total height of the model is 630.00 cm, and the outer radius of the pressure vessel is 222.25 cm. The reactor pressure vessel was created with the use of SA-508 Cl. 3. Because the model is in a finite-si</w:t>
      </w:r>
      <w:r w:rsidR="005404BD" w:rsidRPr="00A371FD">
        <w:rPr>
          <w:sz w:val="22"/>
          <w:szCs w:val="22"/>
        </w:rPr>
        <w:t>z</w:t>
      </w:r>
      <w:r w:rsidRPr="00C45C0D">
        <w:rPr>
          <w:sz w:val="22"/>
          <w:szCs w:val="22"/>
        </w:rPr>
        <w:t>ed environment, the outside surfaces were defined by vacuum boundary conditions.</w:t>
      </w:r>
    </w:p>
    <w:p w14:paraId="48000652" w14:textId="77777777" w:rsidR="006775A3" w:rsidRPr="00C45C0D" w:rsidRDefault="006775A3" w:rsidP="00254247">
      <w:pPr>
        <w:pStyle w:val="Tekstpodstawowywcity"/>
        <w:rPr>
          <w:sz w:val="22"/>
          <w:szCs w:val="22"/>
        </w:rPr>
      </w:pPr>
    </w:p>
    <w:p w14:paraId="4DED9F9E" w14:textId="30115601" w:rsidR="009033C1" w:rsidRPr="00C45C0D" w:rsidRDefault="00C961FA" w:rsidP="009033C1">
      <w:pPr>
        <w:pStyle w:val="Tekstpodstawowywcity"/>
        <w:jc w:val="center"/>
        <w:rPr>
          <w:sz w:val="22"/>
          <w:szCs w:val="22"/>
        </w:rPr>
      </w:pPr>
      <w:r w:rsidRPr="00C45C0D">
        <w:rPr>
          <w:noProof/>
        </w:rPr>
        <w:drawing>
          <wp:inline distT="0" distB="0" distL="0" distR="0" wp14:anchorId="5FCE823F" wp14:editId="10678F25">
            <wp:extent cx="2273935" cy="2576830"/>
            <wp:effectExtent l="0" t="0" r="0" b="0"/>
            <wp:docPr id="5"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2"/>
                    <pic:cNvPicPr>
                      <a:picLocks noChangeAspect="1" noChangeArrowheads="1"/>
                    </pic:cNvPicPr>
                  </pic:nvPicPr>
                  <pic:blipFill>
                    <a:blip r:embed="rId15"/>
                    <a:stretch>
                      <a:fillRect/>
                    </a:stretch>
                  </pic:blipFill>
                  <pic:spPr bwMode="auto">
                    <a:xfrm>
                      <a:off x="0" y="0"/>
                      <a:ext cx="2273935" cy="2576830"/>
                    </a:xfrm>
                    <a:prstGeom prst="rect">
                      <a:avLst/>
                    </a:prstGeom>
                  </pic:spPr>
                </pic:pic>
              </a:graphicData>
            </a:graphic>
          </wp:inline>
        </w:drawing>
      </w:r>
    </w:p>
    <w:p w14:paraId="20731D98" w14:textId="483DA5C7" w:rsidR="00303148" w:rsidRPr="00C45C0D" w:rsidRDefault="00C961FA" w:rsidP="00C961FA">
      <w:pPr>
        <w:pStyle w:val="Tekstpodstawowywcity"/>
        <w:rPr>
          <w:i/>
          <w:iCs/>
        </w:rPr>
      </w:pPr>
      <w:r w:rsidRPr="00C45C0D">
        <w:rPr>
          <w:i/>
          <w:iCs/>
        </w:rPr>
        <w:t>Fig. 3. Model of the AP1000 reactor core.</w:t>
      </w:r>
    </w:p>
    <w:p w14:paraId="2C1F7ABF" w14:textId="77777777" w:rsidR="00C144CB" w:rsidRPr="00C45C0D" w:rsidRDefault="00C144CB" w:rsidP="00996EB9">
      <w:pPr>
        <w:pStyle w:val="Tekstpodstawowywcity"/>
        <w:rPr>
          <w:b/>
          <w:bCs/>
          <w:i/>
          <w:iCs/>
          <w:sz w:val="22"/>
          <w:szCs w:val="22"/>
        </w:rPr>
      </w:pPr>
    </w:p>
    <w:p w14:paraId="57AEF5C7" w14:textId="6876383A" w:rsidR="00303148" w:rsidRPr="00C45C0D" w:rsidRDefault="007C35FA" w:rsidP="005A1C5A">
      <w:pPr>
        <w:pStyle w:val="Tekstpodstawowywcity"/>
        <w:ind w:firstLine="0"/>
        <w:rPr>
          <w:b/>
          <w:bCs/>
          <w:sz w:val="22"/>
          <w:szCs w:val="22"/>
        </w:rPr>
      </w:pPr>
      <w:r w:rsidRPr="00C45C0D">
        <w:rPr>
          <w:b/>
          <w:bCs/>
          <w:sz w:val="22"/>
          <w:szCs w:val="22"/>
        </w:rPr>
        <w:t>III Simulations</w:t>
      </w:r>
    </w:p>
    <w:p w14:paraId="21D78F4C" w14:textId="77777777" w:rsidR="00303148" w:rsidRPr="00C45C0D" w:rsidRDefault="00303148">
      <w:pPr>
        <w:pStyle w:val="Tekstpodstawowywcity"/>
        <w:jc w:val="center"/>
        <w:rPr>
          <w:sz w:val="22"/>
          <w:szCs w:val="22"/>
        </w:rPr>
      </w:pPr>
    </w:p>
    <w:p w14:paraId="22639CAC" w14:textId="45DE7967" w:rsidR="00E01B24" w:rsidRPr="00C45C0D" w:rsidRDefault="00E01B24" w:rsidP="00A371FD">
      <w:pPr>
        <w:pStyle w:val="Tekstpodstawowywcity"/>
        <w:ind w:firstLine="0"/>
        <w:rPr>
          <w:sz w:val="22"/>
          <w:szCs w:val="22"/>
        </w:rPr>
      </w:pPr>
      <w:r w:rsidRPr="00C45C0D">
        <w:rPr>
          <w:sz w:val="22"/>
          <w:szCs w:val="22"/>
        </w:rPr>
        <w:t xml:space="preserve">The investigation involved 4 simulation runs using two nuclear data libraries </w:t>
      </w:r>
      <w:r w:rsidR="005404BD" w:rsidRPr="00A371FD">
        <w:rPr>
          <w:sz w:val="22"/>
          <w:szCs w:val="22"/>
        </w:rPr>
        <w:t xml:space="preserve">- </w:t>
      </w:r>
      <w:r w:rsidRPr="00C45C0D">
        <w:rPr>
          <w:sz w:val="22"/>
          <w:szCs w:val="22"/>
        </w:rPr>
        <w:t xml:space="preserve">ENDF/B-VII.1 and JEFF-3.3, which contain information on cross sections and thermal dissipation at </w:t>
      </w:r>
      <w:r w:rsidR="005404BD" w:rsidRPr="00A371FD">
        <w:rPr>
          <w:sz w:val="22"/>
          <w:szCs w:val="22"/>
        </w:rPr>
        <w:t>specific</w:t>
      </w:r>
      <w:r w:rsidR="005404BD" w:rsidRPr="00C45C0D">
        <w:rPr>
          <w:sz w:val="22"/>
          <w:szCs w:val="22"/>
        </w:rPr>
        <w:t xml:space="preserve"> </w:t>
      </w:r>
      <w:r w:rsidRPr="00C45C0D">
        <w:rPr>
          <w:sz w:val="22"/>
          <w:szCs w:val="22"/>
        </w:rPr>
        <w:t>temperatures. The</w:t>
      </w:r>
      <w:r w:rsidR="007456BC" w:rsidRPr="00C45C0D">
        <w:rPr>
          <w:sz w:val="22"/>
          <w:szCs w:val="22"/>
        </w:rPr>
        <w:t> </w:t>
      </w:r>
      <w:r w:rsidRPr="00C45C0D">
        <w:rPr>
          <w:sz w:val="22"/>
          <w:szCs w:val="22"/>
        </w:rPr>
        <w:t>libraries</w:t>
      </w:r>
      <w:r w:rsidR="00EC1D08" w:rsidRPr="00C45C0D">
        <w:rPr>
          <w:sz w:val="22"/>
          <w:szCs w:val="22"/>
        </w:rPr>
        <w:t xml:space="preserve"> </w:t>
      </w:r>
      <w:r w:rsidRPr="00C45C0D">
        <w:rPr>
          <w:sz w:val="22"/>
          <w:szCs w:val="22"/>
        </w:rPr>
        <w:t>contain some slightly different information on cross</w:t>
      </w:r>
      <w:r w:rsidR="005404BD" w:rsidRPr="00A371FD">
        <w:rPr>
          <w:sz w:val="22"/>
          <w:szCs w:val="22"/>
        </w:rPr>
        <w:t>-</w:t>
      </w:r>
      <w:r w:rsidRPr="00C45C0D">
        <w:rPr>
          <w:sz w:val="22"/>
          <w:szCs w:val="22"/>
        </w:rPr>
        <w:t>sections,</w:t>
      </w:r>
      <w:r w:rsidR="005404BD" w:rsidRPr="00A371FD">
        <w:rPr>
          <w:sz w:val="22"/>
          <w:szCs w:val="22"/>
        </w:rPr>
        <w:t xml:space="preserve"> and therefore,</w:t>
      </w:r>
      <w:r w:rsidRPr="00C45C0D">
        <w:rPr>
          <w:sz w:val="22"/>
          <w:szCs w:val="22"/>
        </w:rPr>
        <w:t xml:space="preserve"> a</w:t>
      </w:r>
      <w:r w:rsidR="005404BD" w:rsidRPr="00A371FD">
        <w:rPr>
          <w:sz w:val="22"/>
          <w:szCs w:val="22"/>
        </w:rPr>
        <w:t xml:space="preserve"> </w:t>
      </w:r>
      <w:r w:rsidRPr="00C45C0D">
        <w:rPr>
          <w:sz w:val="22"/>
          <w:szCs w:val="22"/>
        </w:rPr>
        <w:t xml:space="preserve">comparison was made to show the relationship between them. The ENDF/B-VII.1 library </w:t>
      </w:r>
      <w:r w:rsidR="005404BD" w:rsidRPr="00A371FD">
        <w:rPr>
          <w:sz w:val="22"/>
          <w:szCs w:val="22"/>
        </w:rPr>
        <w:t xml:space="preserve">was </w:t>
      </w:r>
      <w:r w:rsidR="005404BD" w:rsidRPr="00A371FD">
        <w:rPr>
          <w:sz w:val="22"/>
          <w:szCs w:val="22"/>
        </w:rPr>
        <w:t xml:space="preserve">considered a reference library </w:t>
      </w:r>
      <w:r w:rsidRPr="00C45C0D">
        <w:rPr>
          <w:sz w:val="22"/>
          <w:szCs w:val="22"/>
        </w:rPr>
        <w:t>used to validate the model. The control rods were fully extended from the active part of the core during the simulation. The</w:t>
      </w:r>
      <w:r w:rsidR="00D365D4" w:rsidRPr="00C45C0D">
        <w:rPr>
          <w:sz w:val="22"/>
          <w:szCs w:val="22"/>
        </w:rPr>
        <w:t> </w:t>
      </w:r>
      <w:r w:rsidRPr="00C45C0D">
        <w:rPr>
          <w:sz w:val="22"/>
          <w:szCs w:val="22"/>
        </w:rPr>
        <w:t xml:space="preserve">research was divided into two types: </w:t>
      </w:r>
      <w:r w:rsidR="00B320C4" w:rsidRPr="00C45C0D">
        <w:rPr>
          <w:sz w:val="22"/>
          <w:szCs w:val="22"/>
        </w:rPr>
        <w:br/>
      </w:r>
      <w:r w:rsidRPr="00C45C0D">
        <w:rPr>
          <w:sz w:val="22"/>
          <w:szCs w:val="22"/>
        </w:rPr>
        <w:t>"</w:t>
      </w:r>
      <w:r w:rsidRPr="00C45C0D">
        <w:rPr>
          <w:b/>
          <w:bCs/>
          <w:sz w:val="22"/>
          <w:szCs w:val="22"/>
        </w:rPr>
        <w:t>WBA</w:t>
      </w:r>
      <w:r w:rsidRPr="00C45C0D">
        <w:rPr>
          <w:sz w:val="22"/>
          <w:szCs w:val="22"/>
        </w:rPr>
        <w:t>" - without the boric acid in the coolant and "</w:t>
      </w:r>
      <w:r w:rsidRPr="00C45C0D">
        <w:rPr>
          <w:b/>
          <w:bCs/>
          <w:sz w:val="22"/>
          <w:szCs w:val="22"/>
        </w:rPr>
        <w:t>BA</w:t>
      </w:r>
      <w:r w:rsidRPr="00C45C0D">
        <w:rPr>
          <w:sz w:val="22"/>
          <w:szCs w:val="22"/>
        </w:rPr>
        <w:t xml:space="preserve">" - with the addition of boric acid set in the proportions found in </w:t>
      </w:r>
      <w:r w:rsidR="00056405" w:rsidRPr="00A371FD">
        <w:rPr>
          <w:sz w:val="22"/>
          <w:szCs w:val="22"/>
        </w:rPr>
        <w:t>naturally-occurring</w:t>
      </w:r>
      <w:r w:rsidR="00056405" w:rsidRPr="00C45C0D">
        <w:rPr>
          <w:sz w:val="22"/>
          <w:szCs w:val="22"/>
        </w:rPr>
        <w:t xml:space="preserve"> </w:t>
      </w:r>
      <w:r w:rsidRPr="00C45C0D">
        <w:rPr>
          <w:sz w:val="22"/>
          <w:szCs w:val="22"/>
        </w:rPr>
        <w:t xml:space="preserve">boron </w:t>
      </w:r>
      <w:r w:rsidR="00056405" w:rsidRPr="00A371FD">
        <w:rPr>
          <w:sz w:val="22"/>
          <w:szCs w:val="22"/>
        </w:rPr>
        <w:t xml:space="preserve">- </w:t>
      </w:r>
      <w:r w:rsidRPr="00C45C0D">
        <w:rPr>
          <w:sz w:val="22"/>
          <w:szCs w:val="22"/>
        </w:rPr>
        <w:t>B-10 (19.4%) and B-11 (80.6%). Simulations were performed with a configuration of</w:t>
      </w:r>
      <w:r w:rsidR="009038C3" w:rsidRPr="00C45C0D">
        <w:rPr>
          <w:sz w:val="22"/>
          <w:szCs w:val="22"/>
        </w:rPr>
        <w:t> </w:t>
      </w:r>
      <w:r w:rsidRPr="00C45C0D">
        <w:rPr>
          <w:sz w:val="22"/>
          <w:szCs w:val="22"/>
        </w:rPr>
        <w:t>250 active cycles</w:t>
      </w:r>
      <w:r w:rsidR="00056405" w:rsidRPr="00A371FD">
        <w:rPr>
          <w:sz w:val="22"/>
          <w:szCs w:val="22"/>
        </w:rPr>
        <w:t xml:space="preserve"> and</w:t>
      </w:r>
      <w:r w:rsidRPr="00C45C0D">
        <w:rPr>
          <w:sz w:val="22"/>
          <w:szCs w:val="22"/>
        </w:rPr>
        <w:t xml:space="preserve"> 25 inactive cycles at 10000 neutrons per cycle, which allowed the convergence of</w:t>
      </w:r>
      <w:r w:rsidR="009038C3" w:rsidRPr="00C45C0D">
        <w:rPr>
          <w:sz w:val="22"/>
          <w:szCs w:val="22"/>
        </w:rPr>
        <w:t> </w:t>
      </w:r>
      <w:r w:rsidRPr="00C45C0D">
        <w:rPr>
          <w:sz w:val="22"/>
          <w:szCs w:val="22"/>
        </w:rPr>
        <w:t>the source. The total calculation time was 26 hours</w:t>
      </w:r>
      <w:r w:rsidR="00056405" w:rsidRPr="00A371FD">
        <w:rPr>
          <w:sz w:val="22"/>
          <w:szCs w:val="22"/>
        </w:rPr>
        <w:t xml:space="preserve">. The simulation was run on </w:t>
      </w:r>
      <w:r w:rsidRPr="00C45C0D">
        <w:rPr>
          <w:sz w:val="22"/>
          <w:szCs w:val="22"/>
        </w:rPr>
        <w:t>a virtual machine with parameters set to 8 logic</w:t>
      </w:r>
      <w:r w:rsidR="005D7890">
        <w:rPr>
          <w:sz w:val="22"/>
          <w:szCs w:val="22"/>
        </w:rPr>
        <w:t>al</w:t>
      </w:r>
      <w:r w:rsidRPr="00C45C0D">
        <w:rPr>
          <w:sz w:val="22"/>
          <w:szCs w:val="22"/>
        </w:rPr>
        <w:t xml:space="preserve"> </w:t>
      </w:r>
      <w:r w:rsidR="00DB4D18">
        <w:rPr>
          <w:sz w:val="22"/>
          <w:szCs w:val="22"/>
        </w:rPr>
        <w:t>processors</w:t>
      </w:r>
      <w:r w:rsidRPr="00C45C0D">
        <w:rPr>
          <w:sz w:val="22"/>
          <w:szCs w:val="22"/>
        </w:rPr>
        <w:t xml:space="preserve"> and 12 GB of RAM.</w:t>
      </w:r>
    </w:p>
    <w:p w14:paraId="6E2F3E1C" w14:textId="24590532" w:rsidR="00303148" w:rsidRPr="00C45C0D" w:rsidRDefault="00E01B24" w:rsidP="00E01B24">
      <w:pPr>
        <w:pStyle w:val="Tekstpodstawowywcity"/>
        <w:rPr>
          <w:sz w:val="22"/>
          <w:szCs w:val="22"/>
        </w:rPr>
      </w:pPr>
      <w:r w:rsidRPr="00C45C0D">
        <w:rPr>
          <w:sz w:val="22"/>
          <w:szCs w:val="22"/>
        </w:rPr>
        <w:t>Reactor conditions were set to Hot Full Power operation with an average coolant temperature of 303.4℃ and a pressure of 15.513 MPa. The thermal power of the reactor was set at 3400 MW</w:t>
      </w:r>
      <w:r w:rsidR="00421C66" w:rsidRPr="00C45C0D">
        <w:rPr>
          <w:sz w:val="22"/>
          <w:szCs w:val="22"/>
          <w:vertAlign w:val="subscript"/>
        </w:rPr>
        <w:t>th</w:t>
      </w:r>
      <w:r w:rsidR="00056405" w:rsidRPr="00A371FD">
        <w:rPr>
          <w:sz w:val="22"/>
          <w:szCs w:val="22"/>
        </w:rPr>
        <w:t xml:space="preserve"> -</w:t>
      </w:r>
      <w:r w:rsidRPr="00C45C0D">
        <w:rPr>
          <w:sz w:val="22"/>
          <w:szCs w:val="22"/>
        </w:rPr>
        <w:t xml:space="preserve"> identical to the units </w:t>
      </w:r>
      <w:r w:rsidR="00AB7C26" w:rsidRPr="00C45C0D">
        <w:rPr>
          <w:sz w:val="22"/>
          <w:szCs w:val="22"/>
        </w:rPr>
        <w:t>used</w:t>
      </w:r>
      <w:r w:rsidRPr="00C45C0D">
        <w:rPr>
          <w:sz w:val="22"/>
          <w:szCs w:val="22"/>
        </w:rPr>
        <w:t xml:space="preserve"> in Sanmen-1 </w:t>
      </w:r>
      <w:r w:rsidR="00056405" w:rsidRPr="00A371FD">
        <w:rPr>
          <w:sz w:val="22"/>
          <w:szCs w:val="22"/>
        </w:rPr>
        <w:t>and</w:t>
      </w:r>
      <w:r w:rsidRPr="00C45C0D">
        <w:rPr>
          <w:sz w:val="22"/>
          <w:szCs w:val="22"/>
        </w:rPr>
        <w:t xml:space="preserve"> </w:t>
      </w:r>
      <w:r w:rsidR="00056405" w:rsidRPr="00A371FD">
        <w:rPr>
          <w:sz w:val="22"/>
          <w:szCs w:val="22"/>
        </w:rPr>
        <w:t>Sanmen-</w:t>
      </w:r>
      <w:r w:rsidRPr="00C45C0D">
        <w:rPr>
          <w:sz w:val="22"/>
          <w:szCs w:val="22"/>
        </w:rPr>
        <w:t>2.</w:t>
      </w:r>
    </w:p>
    <w:p w14:paraId="21E9608A" w14:textId="77777777" w:rsidR="00303148" w:rsidRPr="00C45C0D" w:rsidRDefault="00303148">
      <w:pPr>
        <w:pStyle w:val="Tekstpodstawowywcity"/>
        <w:jc w:val="center"/>
        <w:rPr>
          <w:sz w:val="22"/>
          <w:szCs w:val="22"/>
        </w:rPr>
      </w:pPr>
    </w:p>
    <w:p w14:paraId="12B7BC41" w14:textId="71A63665" w:rsidR="008440DA" w:rsidRPr="00C45C0D" w:rsidRDefault="001C08F7" w:rsidP="00956695">
      <w:pPr>
        <w:pStyle w:val="Tekstpodstawowywcity"/>
        <w:ind w:firstLine="0"/>
        <w:rPr>
          <w:b/>
          <w:bCs/>
          <w:sz w:val="22"/>
          <w:szCs w:val="22"/>
        </w:rPr>
      </w:pPr>
      <w:r w:rsidRPr="00C45C0D">
        <w:rPr>
          <w:b/>
          <w:bCs/>
          <w:sz w:val="22"/>
          <w:szCs w:val="22"/>
        </w:rPr>
        <w:t>IV. Simulation Results</w:t>
      </w:r>
    </w:p>
    <w:p w14:paraId="64A32092" w14:textId="77777777" w:rsidR="0020075E" w:rsidRPr="00C45C0D" w:rsidRDefault="0020075E" w:rsidP="00956695">
      <w:pPr>
        <w:pStyle w:val="Tekstpodstawowywcity"/>
        <w:ind w:firstLine="0"/>
        <w:rPr>
          <w:b/>
          <w:bCs/>
          <w:sz w:val="22"/>
          <w:szCs w:val="22"/>
        </w:rPr>
      </w:pPr>
    </w:p>
    <w:p w14:paraId="24329847" w14:textId="4AA5B007" w:rsidR="00094425" w:rsidRPr="00C45C0D" w:rsidRDefault="00CB62B3" w:rsidP="00CB62B3">
      <w:pPr>
        <w:pStyle w:val="Tekstpodstawowywcity"/>
        <w:rPr>
          <w:b/>
          <w:bCs/>
          <w:i/>
          <w:iCs/>
          <w:sz w:val="22"/>
          <w:szCs w:val="22"/>
        </w:rPr>
      </w:pPr>
      <w:r w:rsidRPr="00C45C0D">
        <w:rPr>
          <w:b/>
          <w:bCs/>
          <w:i/>
          <w:iCs/>
          <w:sz w:val="22"/>
          <w:szCs w:val="22"/>
        </w:rPr>
        <w:t>IV.A. Effective Multiplication Factor</w:t>
      </w:r>
    </w:p>
    <w:p w14:paraId="3F2DB572" w14:textId="77777777" w:rsidR="00CB62B3" w:rsidRPr="00C45C0D" w:rsidRDefault="00CB62B3" w:rsidP="00CB62B3">
      <w:pPr>
        <w:pStyle w:val="Tekstpodstawowywcity"/>
        <w:rPr>
          <w:b/>
          <w:bCs/>
          <w:sz w:val="22"/>
          <w:szCs w:val="22"/>
        </w:rPr>
      </w:pPr>
    </w:p>
    <w:p w14:paraId="4563BA60" w14:textId="6B18F352" w:rsidR="00D12993" w:rsidRPr="00C45C0D" w:rsidRDefault="00D12993" w:rsidP="00A371FD">
      <w:pPr>
        <w:pStyle w:val="Tekstpodstawowywcity"/>
        <w:ind w:firstLine="0"/>
        <w:rPr>
          <w:sz w:val="22"/>
          <w:szCs w:val="22"/>
        </w:rPr>
      </w:pPr>
      <w:r w:rsidRPr="00C45C0D">
        <w:rPr>
          <w:sz w:val="22"/>
          <w:szCs w:val="22"/>
        </w:rPr>
        <w:t xml:space="preserve">Tables </w:t>
      </w:r>
      <w:r w:rsidR="00055F02" w:rsidRPr="00C45C0D">
        <w:rPr>
          <w:sz w:val="22"/>
          <w:szCs w:val="22"/>
        </w:rPr>
        <w:t>2</w:t>
      </w:r>
      <w:r w:rsidRPr="00C45C0D">
        <w:rPr>
          <w:sz w:val="22"/>
          <w:szCs w:val="22"/>
        </w:rPr>
        <w:t xml:space="preserve"> and </w:t>
      </w:r>
      <w:r w:rsidR="00055F02" w:rsidRPr="00C45C0D">
        <w:rPr>
          <w:sz w:val="22"/>
          <w:szCs w:val="22"/>
        </w:rPr>
        <w:t>3</w:t>
      </w:r>
      <w:r w:rsidRPr="00C45C0D">
        <w:rPr>
          <w:sz w:val="22"/>
          <w:szCs w:val="22"/>
        </w:rPr>
        <w:t xml:space="preserve"> show values of the neutron effective multiplication factor for time t</w:t>
      </w:r>
      <w:r w:rsidRPr="00C45C0D">
        <w:rPr>
          <w:sz w:val="22"/>
          <w:szCs w:val="22"/>
          <w:vertAlign w:val="subscript"/>
        </w:rPr>
        <w:t>0</w:t>
      </w:r>
      <w:r w:rsidRPr="00C45C0D">
        <w:rPr>
          <w:sz w:val="22"/>
          <w:szCs w:val="22"/>
        </w:rPr>
        <w:t>, which represents the initial operation start of the AP1000 reactor. The</w:t>
      </w:r>
      <w:r w:rsidR="00D33FEC" w:rsidRPr="00C45C0D">
        <w:rPr>
          <w:sz w:val="22"/>
          <w:szCs w:val="22"/>
        </w:rPr>
        <w:t> </w:t>
      </w:r>
      <w:r w:rsidRPr="00C45C0D">
        <w:rPr>
          <w:sz w:val="22"/>
          <w:szCs w:val="22"/>
        </w:rPr>
        <w:t>averaged k</w:t>
      </w:r>
      <w:r w:rsidRPr="00C45C0D">
        <w:rPr>
          <w:sz w:val="22"/>
          <w:szCs w:val="22"/>
          <w:vertAlign w:val="subscript"/>
        </w:rPr>
        <w:t>eff</w:t>
      </w:r>
      <w:r w:rsidRPr="00C45C0D">
        <w:rPr>
          <w:sz w:val="22"/>
          <w:szCs w:val="22"/>
        </w:rPr>
        <w:t xml:space="preserve"> value obtained using the </w:t>
      </w:r>
      <w:r w:rsidR="00056405" w:rsidRPr="00A371FD">
        <w:rPr>
          <w:sz w:val="22"/>
          <w:szCs w:val="22"/>
        </w:rPr>
        <w:br/>
      </w:r>
      <w:r w:rsidRPr="00C45C0D">
        <w:rPr>
          <w:sz w:val="22"/>
          <w:szCs w:val="22"/>
        </w:rPr>
        <w:t>ENDF/B-VII.1 and JEFF-3.3 libraries for the WBA cases was 1.323. The high value of the k</w:t>
      </w:r>
      <w:r w:rsidRPr="00C45C0D">
        <w:rPr>
          <w:sz w:val="22"/>
          <w:szCs w:val="22"/>
          <w:vertAlign w:val="subscript"/>
        </w:rPr>
        <w:t xml:space="preserve">eff </w:t>
      </w:r>
      <w:r w:rsidRPr="00C45C0D">
        <w:rPr>
          <w:sz w:val="22"/>
          <w:szCs w:val="22"/>
        </w:rPr>
        <w:t xml:space="preserve">factor </w:t>
      </w:r>
      <w:r w:rsidR="00056405" w:rsidRPr="00A371FD">
        <w:rPr>
          <w:sz w:val="22"/>
          <w:szCs w:val="22"/>
        </w:rPr>
        <w:t>was</w:t>
      </w:r>
      <w:r w:rsidR="00056405" w:rsidRPr="00C45C0D">
        <w:rPr>
          <w:sz w:val="22"/>
          <w:szCs w:val="22"/>
        </w:rPr>
        <w:t xml:space="preserve"> </w:t>
      </w:r>
      <w:r w:rsidRPr="00C45C0D">
        <w:rPr>
          <w:sz w:val="22"/>
          <w:szCs w:val="22"/>
        </w:rPr>
        <w:t>caused by excess reactivity, characteristic for the first fuel cycle</w:t>
      </w:r>
      <w:r w:rsidR="00056405" w:rsidRPr="00A371FD">
        <w:rPr>
          <w:sz w:val="22"/>
          <w:szCs w:val="22"/>
        </w:rPr>
        <w:t xml:space="preserve">, as it was the </w:t>
      </w:r>
      <w:r w:rsidRPr="00C45C0D">
        <w:rPr>
          <w:sz w:val="22"/>
          <w:szCs w:val="22"/>
        </w:rPr>
        <w:t>result of loading the core with fresh fuel. Furthermore, the high k</w:t>
      </w:r>
      <w:r w:rsidRPr="00C45C0D">
        <w:rPr>
          <w:sz w:val="22"/>
          <w:szCs w:val="22"/>
          <w:vertAlign w:val="subscript"/>
        </w:rPr>
        <w:t>eff</w:t>
      </w:r>
      <w:r w:rsidRPr="00C45C0D">
        <w:rPr>
          <w:sz w:val="22"/>
          <w:szCs w:val="22"/>
        </w:rPr>
        <w:t xml:space="preserve"> value is due to the lack of boric acid in the coolant</w:t>
      </w:r>
      <w:r w:rsidR="00C45C0D">
        <w:rPr>
          <w:sz w:val="22"/>
          <w:szCs w:val="22"/>
        </w:rPr>
        <w:t xml:space="preserve">, </w:t>
      </w:r>
      <w:r w:rsidR="00056405" w:rsidRPr="00A371FD">
        <w:rPr>
          <w:sz w:val="22"/>
          <w:szCs w:val="22"/>
        </w:rPr>
        <w:t xml:space="preserve">since boric acid </w:t>
      </w:r>
      <w:r w:rsidRPr="00C45C0D">
        <w:rPr>
          <w:sz w:val="22"/>
          <w:szCs w:val="22"/>
        </w:rPr>
        <w:t xml:space="preserve">strongly absorbs neutrons. </w:t>
      </w:r>
    </w:p>
    <w:p w14:paraId="68EC7A02" w14:textId="657B27D0" w:rsidR="001921A6" w:rsidRPr="00C45C0D" w:rsidRDefault="00D12993" w:rsidP="00960DAE">
      <w:pPr>
        <w:pStyle w:val="Tekstpodstawowywcity"/>
        <w:rPr>
          <w:sz w:val="22"/>
          <w:szCs w:val="22"/>
        </w:rPr>
      </w:pPr>
      <w:r w:rsidRPr="00C45C0D">
        <w:rPr>
          <w:sz w:val="22"/>
          <w:szCs w:val="22"/>
        </w:rPr>
        <w:t xml:space="preserve">The validity of the reactor model was </w:t>
      </w:r>
      <w:r w:rsidR="00056405" w:rsidRPr="00A371FD">
        <w:rPr>
          <w:sz w:val="22"/>
          <w:szCs w:val="22"/>
        </w:rPr>
        <w:t xml:space="preserve">then </w:t>
      </w:r>
      <w:r w:rsidRPr="00C45C0D">
        <w:rPr>
          <w:sz w:val="22"/>
          <w:szCs w:val="22"/>
        </w:rPr>
        <w:t xml:space="preserve">confirmed by comparing the values obtained from simulations and those provided by the </w:t>
      </w:r>
      <w:r w:rsidR="00024034" w:rsidRPr="00C45C0D">
        <w:rPr>
          <w:sz w:val="22"/>
          <w:szCs w:val="22"/>
        </w:rPr>
        <w:t>United States</w:t>
      </w:r>
      <w:r w:rsidRPr="00C45C0D">
        <w:rPr>
          <w:sz w:val="22"/>
          <w:szCs w:val="22"/>
        </w:rPr>
        <w:t xml:space="preserve"> Nuclear Regulatory Commission [9]. The k</w:t>
      </w:r>
      <w:r w:rsidRPr="00C45C0D">
        <w:rPr>
          <w:sz w:val="22"/>
          <w:szCs w:val="22"/>
          <w:vertAlign w:val="subscript"/>
        </w:rPr>
        <w:t xml:space="preserve">eff </w:t>
      </w:r>
      <w:r w:rsidRPr="00C45C0D">
        <w:rPr>
          <w:sz w:val="22"/>
          <w:szCs w:val="22"/>
        </w:rPr>
        <w:t>difference</w:t>
      </w:r>
      <w:r w:rsidR="00056405" w:rsidRPr="00A371FD">
        <w:rPr>
          <w:sz w:val="22"/>
          <w:szCs w:val="22"/>
        </w:rPr>
        <w:t xml:space="preserve"> of </w:t>
      </w:r>
      <w:r w:rsidRPr="00C45C0D">
        <w:rPr>
          <w:sz w:val="22"/>
          <w:szCs w:val="22"/>
        </w:rPr>
        <w:t xml:space="preserve">0.005 </w:t>
      </w:r>
      <w:r w:rsidR="00056405" w:rsidRPr="00A371FD">
        <w:rPr>
          <w:sz w:val="22"/>
          <w:szCs w:val="22"/>
        </w:rPr>
        <w:t xml:space="preserve">was deemed to be the consequence of </w:t>
      </w:r>
      <w:r w:rsidRPr="00C45C0D">
        <w:rPr>
          <w:sz w:val="22"/>
          <w:szCs w:val="22"/>
        </w:rPr>
        <w:t>the simplification of the model geometry.</w:t>
      </w:r>
      <w:r w:rsidR="00960DAE" w:rsidRPr="00C45C0D">
        <w:rPr>
          <w:sz w:val="22"/>
          <w:szCs w:val="22"/>
        </w:rPr>
        <w:t xml:space="preserve"> </w:t>
      </w:r>
      <w:r w:rsidRPr="00C45C0D">
        <w:rPr>
          <w:sz w:val="22"/>
          <w:szCs w:val="22"/>
        </w:rPr>
        <w:t>The averaged k</w:t>
      </w:r>
      <w:r w:rsidRPr="00C45C0D">
        <w:rPr>
          <w:sz w:val="22"/>
          <w:szCs w:val="22"/>
          <w:vertAlign w:val="subscript"/>
        </w:rPr>
        <w:t>eff</w:t>
      </w:r>
      <w:r w:rsidRPr="00C45C0D">
        <w:rPr>
          <w:sz w:val="22"/>
          <w:szCs w:val="22"/>
        </w:rPr>
        <w:t xml:space="preserve"> value obtained for simulations with boric acid was 1.097. This value is significantly lower than for WBA cases. This confirms </w:t>
      </w:r>
      <w:r w:rsidR="00056405" w:rsidRPr="00A371FD">
        <w:rPr>
          <w:sz w:val="22"/>
          <w:szCs w:val="22"/>
        </w:rPr>
        <w:t xml:space="preserve">the </w:t>
      </w:r>
      <w:r w:rsidR="00B11F26" w:rsidRPr="00A371FD">
        <w:rPr>
          <w:sz w:val="22"/>
          <w:szCs w:val="22"/>
        </w:rPr>
        <w:t>hypo</w:t>
      </w:r>
      <w:r w:rsidR="00056405" w:rsidRPr="00A371FD">
        <w:rPr>
          <w:sz w:val="22"/>
          <w:szCs w:val="22"/>
        </w:rPr>
        <w:t xml:space="preserve">thesis </w:t>
      </w:r>
      <w:r w:rsidRPr="00C45C0D">
        <w:rPr>
          <w:sz w:val="22"/>
          <w:szCs w:val="22"/>
        </w:rPr>
        <w:t>that by applying the appropriate concentration of boric acid, reactivity changes can be controlled. For higher boric acid concentration in the coolant, successively lower initial k</w:t>
      </w:r>
      <w:r w:rsidRPr="00C45C0D">
        <w:rPr>
          <w:sz w:val="22"/>
          <w:szCs w:val="22"/>
          <w:vertAlign w:val="subscript"/>
        </w:rPr>
        <w:t>eff</w:t>
      </w:r>
      <w:r w:rsidRPr="00C45C0D">
        <w:rPr>
          <w:sz w:val="22"/>
          <w:szCs w:val="22"/>
        </w:rPr>
        <w:t xml:space="preserve"> values would be obtained. During the investigation, the concentration of boric acid was constantly kept at an equal level for the entire simulation and the control rods were not inserted into </w:t>
      </w:r>
      <w:r w:rsidRPr="00C45C0D">
        <w:rPr>
          <w:sz w:val="22"/>
          <w:szCs w:val="22"/>
        </w:rPr>
        <w:lastRenderedPageBreak/>
        <w:t xml:space="preserve">the core. In actual reactor operating conditions, the concentration of boric acid is altered to compensate for </w:t>
      </w:r>
      <w:r w:rsidR="00B11F26" w:rsidRPr="00A371FD">
        <w:rPr>
          <w:sz w:val="22"/>
          <w:szCs w:val="22"/>
        </w:rPr>
        <w:t>long-term</w:t>
      </w:r>
      <w:r w:rsidR="00B11F26" w:rsidRPr="00C45C0D">
        <w:rPr>
          <w:sz w:val="22"/>
          <w:szCs w:val="22"/>
        </w:rPr>
        <w:t xml:space="preserve"> </w:t>
      </w:r>
      <w:r w:rsidRPr="00C45C0D">
        <w:rPr>
          <w:sz w:val="22"/>
          <w:szCs w:val="22"/>
        </w:rPr>
        <w:t>reactivity changes that occur during fuel burnup.</w:t>
      </w:r>
    </w:p>
    <w:p w14:paraId="65DA0454" w14:textId="77777777" w:rsidR="001921A6" w:rsidRPr="00C45C0D" w:rsidRDefault="001921A6" w:rsidP="005F4D7F">
      <w:pPr>
        <w:pStyle w:val="Tekstpodstawowywcity"/>
        <w:ind w:firstLine="0"/>
        <w:rPr>
          <w:i/>
          <w:iCs/>
        </w:rPr>
      </w:pPr>
    </w:p>
    <w:p w14:paraId="15E98199" w14:textId="02A13AD1" w:rsidR="001806D6" w:rsidRPr="00C45C0D" w:rsidRDefault="00580248" w:rsidP="005F4D7F">
      <w:pPr>
        <w:pStyle w:val="Tekstpodstawowywcity"/>
        <w:ind w:firstLine="0"/>
        <w:rPr>
          <w:sz w:val="22"/>
          <w:szCs w:val="22"/>
        </w:rPr>
      </w:pPr>
      <w:r w:rsidRPr="00C45C0D">
        <w:rPr>
          <w:i/>
          <w:iCs/>
        </w:rPr>
        <w:t xml:space="preserve">Table </w:t>
      </w:r>
      <w:r w:rsidR="007D6320" w:rsidRPr="00C45C0D">
        <w:rPr>
          <w:i/>
          <w:iCs/>
        </w:rPr>
        <w:t>2</w:t>
      </w:r>
      <w:r w:rsidRPr="00C45C0D">
        <w:rPr>
          <w:i/>
          <w:iCs/>
        </w:rPr>
        <w:t xml:space="preserve"> Calculation results without boric acid</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134"/>
        <w:gridCol w:w="1275"/>
        <w:gridCol w:w="1363"/>
      </w:tblGrid>
      <w:tr w:rsidR="00601382" w:rsidRPr="00C45C0D" w14:paraId="7893B62C" w14:textId="6C7DA2BF" w:rsidTr="0041578B">
        <w:tc>
          <w:tcPr>
            <w:tcW w:w="1135" w:type="dxa"/>
            <w:tcBorders>
              <w:bottom w:val="single" w:sz="4" w:space="0" w:color="auto"/>
            </w:tcBorders>
          </w:tcPr>
          <w:p w14:paraId="541DC1DD" w14:textId="08921A68" w:rsidR="00601382" w:rsidRPr="00C45C0D" w:rsidRDefault="009225C0" w:rsidP="0054079A">
            <w:pPr>
              <w:pStyle w:val="Tekstpodstawowywcity"/>
              <w:ind w:firstLine="0"/>
              <w:jc w:val="center"/>
              <w:rPr>
                <w:sz w:val="18"/>
              </w:rPr>
            </w:pPr>
            <w:r w:rsidRPr="00C45C0D">
              <w:rPr>
                <w:sz w:val="18"/>
              </w:rPr>
              <w:t>Name</w:t>
            </w:r>
          </w:p>
        </w:tc>
        <w:tc>
          <w:tcPr>
            <w:tcW w:w="1134" w:type="dxa"/>
            <w:tcBorders>
              <w:bottom w:val="single" w:sz="4" w:space="0" w:color="auto"/>
            </w:tcBorders>
          </w:tcPr>
          <w:p w14:paraId="14A31C8C" w14:textId="267D3FA3" w:rsidR="00601382" w:rsidRPr="00C45C0D" w:rsidRDefault="004162E2" w:rsidP="00426E28">
            <w:pPr>
              <w:pStyle w:val="Tekstpodstawowywcity"/>
              <w:ind w:firstLine="0"/>
              <w:jc w:val="center"/>
              <w:rPr>
                <w:sz w:val="18"/>
              </w:rPr>
            </w:pPr>
            <w:r w:rsidRPr="00C45C0D">
              <w:rPr>
                <w:sz w:val="18"/>
              </w:rPr>
              <w:t>k</w:t>
            </w:r>
            <w:r w:rsidRPr="00C45C0D">
              <w:rPr>
                <w:sz w:val="18"/>
                <w:vertAlign w:val="subscript"/>
              </w:rPr>
              <w:t>eff</w:t>
            </w:r>
          </w:p>
        </w:tc>
        <w:tc>
          <w:tcPr>
            <w:tcW w:w="1275" w:type="dxa"/>
            <w:tcBorders>
              <w:bottom w:val="single" w:sz="4" w:space="0" w:color="auto"/>
            </w:tcBorders>
          </w:tcPr>
          <w:p w14:paraId="508AD17E" w14:textId="70A508C5" w:rsidR="00601382" w:rsidRPr="00C45C0D" w:rsidRDefault="006C1F5A" w:rsidP="00426E28">
            <w:pPr>
              <w:pStyle w:val="Tekstpodstawowywcity"/>
              <w:ind w:firstLine="0"/>
              <w:jc w:val="center"/>
              <w:rPr>
                <w:sz w:val="18"/>
              </w:rPr>
            </w:pPr>
            <w:r w:rsidRPr="00C45C0D">
              <w:rPr>
                <w:sz w:val="18"/>
              </w:rPr>
              <w:t>Error</w:t>
            </w:r>
          </w:p>
        </w:tc>
        <w:tc>
          <w:tcPr>
            <w:tcW w:w="1363" w:type="dxa"/>
            <w:tcBorders>
              <w:bottom w:val="single" w:sz="4" w:space="0" w:color="auto"/>
            </w:tcBorders>
          </w:tcPr>
          <w:p w14:paraId="2AD97565" w14:textId="15D1E95D" w:rsidR="00601382" w:rsidRPr="00C45C0D" w:rsidRDefault="006C1F5A" w:rsidP="00426E28">
            <w:pPr>
              <w:pStyle w:val="Tekstpodstawowywcity"/>
              <w:ind w:firstLine="0"/>
              <w:jc w:val="center"/>
              <w:rPr>
                <w:sz w:val="18"/>
              </w:rPr>
            </w:pPr>
            <w:r w:rsidRPr="00C45C0D">
              <w:rPr>
                <w:sz w:val="18"/>
              </w:rPr>
              <w:t>Library</w:t>
            </w:r>
          </w:p>
        </w:tc>
      </w:tr>
      <w:tr w:rsidR="00601382" w:rsidRPr="00C45C0D" w14:paraId="31D6D18E" w14:textId="73796ED7" w:rsidTr="0041578B">
        <w:tc>
          <w:tcPr>
            <w:tcW w:w="1135" w:type="dxa"/>
            <w:tcBorders>
              <w:bottom w:val="nil"/>
              <w:right w:val="single" w:sz="4" w:space="0" w:color="auto"/>
            </w:tcBorders>
          </w:tcPr>
          <w:p w14:paraId="55C0A94C" w14:textId="0EB14F80" w:rsidR="00601382" w:rsidRPr="00C45C0D" w:rsidRDefault="009225C0" w:rsidP="0054079A">
            <w:pPr>
              <w:pStyle w:val="Tekstpodstawowywcity"/>
              <w:ind w:firstLine="0"/>
              <w:jc w:val="center"/>
              <w:rPr>
                <w:sz w:val="18"/>
              </w:rPr>
            </w:pPr>
            <w:r w:rsidRPr="00C45C0D">
              <w:rPr>
                <w:sz w:val="18"/>
              </w:rPr>
              <w:t>WBA 1</w:t>
            </w:r>
          </w:p>
        </w:tc>
        <w:tc>
          <w:tcPr>
            <w:tcW w:w="1134" w:type="dxa"/>
            <w:tcBorders>
              <w:left w:val="single" w:sz="4" w:space="0" w:color="auto"/>
              <w:bottom w:val="nil"/>
              <w:right w:val="single" w:sz="4" w:space="0" w:color="auto"/>
            </w:tcBorders>
          </w:tcPr>
          <w:p w14:paraId="5B2BB76D" w14:textId="788F6234" w:rsidR="00601382" w:rsidRPr="00C45C0D" w:rsidRDefault="0002643D" w:rsidP="00426E28">
            <w:pPr>
              <w:pStyle w:val="Tekstpodstawowywcity"/>
              <w:ind w:firstLine="0"/>
              <w:jc w:val="center"/>
              <w:rPr>
                <w:sz w:val="18"/>
              </w:rPr>
            </w:pPr>
            <w:r w:rsidRPr="00C45C0D">
              <w:rPr>
                <w:sz w:val="18"/>
              </w:rPr>
              <w:t>1</w:t>
            </w:r>
            <w:r w:rsidR="00F46CB5" w:rsidRPr="00C45C0D">
              <w:rPr>
                <w:sz w:val="18"/>
              </w:rPr>
              <w:t>.</w:t>
            </w:r>
            <w:r w:rsidRPr="00C45C0D">
              <w:rPr>
                <w:sz w:val="18"/>
              </w:rPr>
              <w:t>32237</w:t>
            </w:r>
          </w:p>
        </w:tc>
        <w:tc>
          <w:tcPr>
            <w:tcW w:w="1275" w:type="dxa"/>
            <w:tcBorders>
              <w:left w:val="single" w:sz="4" w:space="0" w:color="auto"/>
              <w:bottom w:val="nil"/>
            </w:tcBorders>
          </w:tcPr>
          <w:p w14:paraId="3728C33D" w14:textId="07275BF0" w:rsidR="00601382" w:rsidRPr="00C45C0D" w:rsidRDefault="00AD627B" w:rsidP="00426E28">
            <w:pPr>
              <w:pStyle w:val="Tekstpodstawowywcity"/>
              <w:ind w:firstLine="0"/>
              <w:jc w:val="center"/>
              <w:rPr>
                <w:sz w:val="18"/>
              </w:rPr>
            </w:pPr>
            <w:r w:rsidRPr="00C45C0D">
              <w:rPr>
                <w:sz w:val="18"/>
              </w:rPr>
              <w:t>+/- 0</w:t>
            </w:r>
            <w:r w:rsidR="00F46CB5" w:rsidRPr="00C45C0D">
              <w:rPr>
                <w:sz w:val="18"/>
              </w:rPr>
              <w:t>.</w:t>
            </w:r>
            <w:r w:rsidRPr="00C45C0D">
              <w:rPr>
                <w:sz w:val="18"/>
              </w:rPr>
              <w:t>00066</w:t>
            </w:r>
          </w:p>
        </w:tc>
        <w:tc>
          <w:tcPr>
            <w:tcW w:w="1363" w:type="dxa"/>
            <w:tcBorders>
              <w:left w:val="single" w:sz="4" w:space="0" w:color="auto"/>
              <w:bottom w:val="nil"/>
            </w:tcBorders>
          </w:tcPr>
          <w:p w14:paraId="149E356E" w14:textId="3B0492CE" w:rsidR="00601382" w:rsidRPr="00C45C0D" w:rsidRDefault="0041578B" w:rsidP="00426E28">
            <w:pPr>
              <w:pStyle w:val="Tekstpodstawowywcity"/>
              <w:ind w:firstLine="0"/>
              <w:jc w:val="center"/>
              <w:rPr>
                <w:sz w:val="18"/>
              </w:rPr>
            </w:pPr>
            <w:r w:rsidRPr="00C45C0D">
              <w:rPr>
                <w:sz w:val="18"/>
              </w:rPr>
              <w:t>ENDF/B-VII.1</w:t>
            </w:r>
          </w:p>
        </w:tc>
      </w:tr>
      <w:tr w:rsidR="00601382" w:rsidRPr="00C45C0D" w14:paraId="2F8480BA" w14:textId="1474723D" w:rsidTr="0041578B">
        <w:tc>
          <w:tcPr>
            <w:tcW w:w="1135" w:type="dxa"/>
            <w:tcBorders>
              <w:top w:val="nil"/>
              <w:bottom w:val="nil"/>
              <w:right w:val="single" w:sz="4" w:space="0" w:color="auto"/>
            </w:tcBorders>
          </w:tcPr>
          <w:p w14:paraId="1931F8A0" w14:textId="60E28012" w:rsidR="00601382" w:rsidRPr="00C45C0D" w:rsidRDefault="009225C0" w:rsidP="0054079A">
            <w:pPr>
              <w:pStyle w:val="Tekstpodstawowywcity"/>
              <w:ind w:firstLine="0"/>
              <w:jc w:val="center"/>
              <w:rPr>
                <w:sz w:val="18"/>
              </w:rPr>
            </w:pPr>
            <w:r w:rsidRPr="00C45C0D">
              <w:rPr>
                <w:sz w:val="18"/>
              </w:rPr>
              <w:t>WBA 2</w:t>
            </w:r>
          </w:p>
        </w:tc>
        <w:tc>
          <w:tcPr>
            <w:tcW w:w="1134" w:type="dxa"/>
            <w:tcBorders>
              <w:top w:val="nil"/>
              <w:left w:val="single" w:sz="4" w:space="0" w:color="auto"/>
              <w:bottom w:val="nil"/>
              <w:right w:val="single" w:sz="4" w:space="0" w:color="auto"/>
            </w:tcBorders>
          </w:tcPr>
          <w:p w14:paraId="2D1BC2E8" w14:textId="2874E091" w:rsidR="00601382" w:rsidRPr="00C45C0D" w:rsidRDefault="00AC72ED" w:rsidP="00426E28">
            <w:pPr>
              <w:pStyle w:val="Tekstpodstawowywcity"/>
              <w:ind w:firstLine="0"/>
              <w:jc w:val="center"/>
              <w:rPr>
                <w:sz w:val="18"/>
              </w:rPr>
            </w:pPr>
            <w:r w:rsidRPr="00C45C0D">
              <w:rPr>
                <w:sz w:val="18"/>
              </w:rPr>
              <w:t>1</w:t>
            </w:r>
            <w:r w:rsidR="00F46CB5" w:rsidRPr="00C45C0D">
              <w:rPr>
                <w:sz w:val="18"/>
              </w:rPr>
              <w:t>.</w:t>
            </w:r>
            <w:r w:rsidRPr="00C45C0D">
              <w:rPr>
                <w:sz w:val="18"/>
              </w:rPr>
              <w:t>32280</w:t>
            </w:r>
          </w:p>
        </w:tc>
        <w:tc>
          <w:tcPr>
            <w:tcW w:w="1275" w:type="dxa"/>
            <w:tcBorders>
              <w:top w:val="nil"/>
              <w:left w:val="single" w:sz="4" w:space="0" w:color="auto"/>
              <w:bottom w:val="nil"/>
            </w:tcBorders>
          </w:tcPr>
          <w:p w14:paraId="1D10FB46" w14:textId="467E9C6C" w:rsidR="00601382" w:rsidRPr="00C45C0D" w:rsidRDefault="00AD627B" w:rsidP="00426E28">
            <w:pPr>
              <w:pStyle w:val="Tekstpodstawowywcity"/>
              <w:ind w:firstLine="0"/>
              <w:jc w:val="center"/>
              <w:rPr>
                <w:sz w:val="18"/>
              </w:rPr>
            </w:pPr>
            <w:r w:rsidRPr="00C45C0D">
              <w:rPr>
                <w:sz w:val="18"/>
              </w:rPr>
              <w:t>+/- 0</w:t>
            </w:r>
            <w:r w:rsidR="00F46CB5" w:rsidRPr="00C45C0D">
              <w:rPr>
                <w:sz w:val="18"/>
              </w:rPr>
              <w:t>.</w:t>
            </w:r>
            <w:r w:rsidRPr="00C45C0D">
              <w:rPr>
                <w:sz w:val="18"/>
              </w:rPr>
              <w:t>00063</w:t>
            </w:r>
          </w:p>
        </w:tc>
        <w:tc>
          <w:tcPr>
            <w:tcW w:w="1363" w:type="dxa"/>
            <w:tcBorders>
              <w:top w:val="nil"/>
              <w:left w:val="single" w:sz="4" w:space="0" w:color="auto"/>
              <w:bottom w:val="nil"/>
            </w:tcBorders>
          </w:tcPr>
          <w:p w14:paraId="524F4741" w14:textId="0699D169" w:rsidR="00601382" w:rsidRPr="00C45C0D" w:rsidRDefault="00B73E28" w:rsidP="00426E28">
            <w:pPr>
              <w:pStyle w:val="Tekstpodstawowywcity"/>
              <w:ind w:firstLine="0"/>
              <w:jc w:val="center"/>
              <w:rPr>
                <w:sz w:val="18"/>
              </w:rPr>
            </w:pPr>
            <w:r w:rsidRPr="00C45C0D">
              <w:rPr>
                <w:sz w:val="18"/>
              </w:rPr>
              <w:t>JEFF-3.3</w:t>
            </w:r>
          </w:p>
        </w:tc>
      </w:tr>
      <w:tr w:rsidR="00601382" w:rsidRPr="00C45C0D" w14:paraId="362D6EBA" w14:textId="466D7230" w:rsidTr="0041578B">
        <w:tc>
          <w:tcPr>
            <w:tcW w:w="1135" w:type="dxa"/>
            <w:tcBorders>
              <w:top w:val="nil"/>
              <w:right w:val="single" w:sz="4" w:space="0" w:color="auto"/>
            </w:tcBorders>
          </w:tcPr>
          <w:p w14:paraId="094B2050" w14:textId="44433203" w:rsidR="00601382" w:rsidRPr="00C45C0D" w:rsidRDefault="009225C0" w:rsidP="008B74A4">
            <w:pPr>
              <w:pStyle w:val="Tekstpodstawowywcity"/>
              <w:ind w:firstLine="0"/>
              <w:jc w:val="center"/>
              <w:rPr>
                <w:sz w:val="18"/>
              </w:rPr>
            </w:pPr>
            <w:r w:rsidRPr="00C45C0D">
              <w:rPr>
                <w:sz w:val="18"/>
              </w:rPr>
              <w:t>U.S. NRC</w:t>
            </w:r>
          </w:p>
        </w:tc>
        <w:tc>
          <w:tcPr>
            <w:tcW w:w="1134" w:type="dxa"/>
            <w:tcBorders>
              <w:top w:val="nil"/>
              <w:left w:val="single" w:sz="4" w:space="0" w:color="auto"/>
              <w:right w:val="single" w:sz="4" w:space="0" w:color="auto"/>
            </w:tcBorders>
          </w:tcPr>
          <w:p w14:paraId="22234E25" w14:textId="43BE354B" w:rsidR="00601382" w:rsidRPr="00C45C0D" w:rsidRDefault="004D4B1D" w:rsidP="00426E28">
            <w:pPr>
              <w:pStyle w:val="Tekstpodstawowywcity"/>
              <w:ind w:firstLine="0"/>
              <w:jc w:val="center"/>
              <w:rPr>
                <w:sz w:val="18"/>
              </w:rPr>
            </w:pPr>
            <w:r w:rsidRPr="00C45C0D">
              <w:rPr>
                <w:sz w:val="18"/>
              </w:rPr>
              <w:t>1</w:t>
            </w:r>
            <w:r w:rsidR="00F46CB5" w:rsidRPr="00C45C0D">
              <w:rPr>
                <w:sz w:val="18"/>
              </w:rPr>
              <w:t>.</w:t>
            </w:r>
            <w:r w:rsidRPr="00C45C0D">
              <w:rPr>
                <w:sz w:val="18"/>
              </w:rPr>
              <w:t>32800</w:t>
            </w:r>
          </w:p>
        </w:tc>
        <w:tc>
          <w:tcPr>
            <w:tcW w:w="1275" w:type="dxa"/>
            <w:tcBorders>
              <w:top w:val="nil"/>
              <w:left w:val="single" w:sz="4" w:space="0" w:color="auto"/>
            </w:tcBorders>
          </w:tcPr>
          <w:p w14:paraId="3F7993F2" w14:textId="34E9A95D" w:rsidR="00601382" w:rsidRPr="00C45C0D" w:rsidRDefault="0031099E" w:rsidP="00426E28">
            <w:pPr>
              <w:pStyle w:val="Tekstpodstawowywcity"/>
              <w:ind w:firstLine="0"/>
              <w:jc w:val="center"/>
              <w:rPr>
                <w:sz w:val="18"/>
              </w:rPr>
            </w:pPr>
            <w:r w:rsidRPr="00C45C0D">
              <w:rPr>
                <w:sz w:val="18"/>
              </w:rPr>
              <w:t>-</w:t>
            </w:r>
          </w:p>
        </w:tc>
        <w:tc>
          <w:tcPr>
            <w:tcW w:w="1363" w:type="dxa"/>
            <w:tcBorders>
              <w:top w:val="nil"/>
              <w:left w:val="single" w:sz="4" w:space="0" w:color="auto"/>
            </w:tcBorders>
          </w:tcPr>
          <w:p w14:paraId="6FC272A7" w14:textId="49ECD8C9" w:rsidR="00601382" w:rsidRPr="00C45C0D" w:rsidRDefault="00E63FED" w:rsidP="00426E28">
            <w:pPr>
              <w:pStyle w:val="Tekstpodstawowywcity"/>
              <w:ind w:firstLine="0"/>
              <w:jc w:val="center"/>
              <w:rPr>
                <w:sz w:val="18"/>
              </w:rPr>
            </w:pPr>
            <w:r w:rsidRPr="00C45C0D">
              <w:rPr>
                <w:sz w:val="18"/>
              </w:rPr>
              <w:t>ENDF/B-V</w:t>
            </w:r>
          </w:p>
        </w:tc>
      </w:tr>
    </w:tbl>
    <w:p w14:paraId="1C95E7CA" w14:textId="77777777" w:rsidR="001806D6" w:rsidRPr="00C45C0D" w:rsidRDefault="001806D6" w:rsidP="007E5DDD">
      <w:pPr>
        <w:pStyle w:val="Tekstpodstawowywcity"/>
        <w:ind w:firstLine="0"/>
        <w:rPr>
          <w:b/>
          <w:bCs/>
          <w:sz w:val="22"/>
          <w:szCs w:val="22"/>
        </w:rPr>
      </w:pPr>
    </w:p>
    <w:p w14:paraId="54B4141B" w14:textId="63152703" w:rsidR="001806D6" w:rsidRPr="00C45C0D" w:rsidRDefault="00CC5167" w:rsidP="00CC5167">
      <w:pPr>
        <w:pStyle w:val="Tekstpodstawowywcity"/>
        <w:ind w:firstLine="0"/>
        <w:rPr>
          <w:i/>
          <w:iCs/>
        </w:rPr>
      </w:pPr>
      <w:r w:rsidRPr="00C45C0D">
        <w:rPr>
          <w:i/>
          <w:iCs/>
        </w:rPr>
        <w:t xml:space="preserve">Table </w:t>
      </w:r>
      <w:r w:rsidR="007D6320" w:rsidRPr="00C45C0D">
        <w:rPr>
          <w:i/>
          <w:iCs/>
        </w:rPr>
        <w:t>3</w:t>
      </w:r>
      <w:r w:rsidRPr="00C45C0D">
        <w:rPr>
          <w:i/>
          <w:iCs/>
        </w:rPr>
        <w:t xml:space="preserve"> Calculation results with boric acid</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134"/>
        <w:gridCol w:w="1275"/>
        <w:gridCol w:w="1363"/>
      </w:tblGrid>
      <w:tr w:rsidR="00B22AEB" w:rsidRPr="00C45C0D" w14:paraId="25BCD71F" w14:textId="77777777" w:rsidTr="00426E28">
        <w:tc>
          <w:tcPr>
            <w:tcW w:w="1135" w:type="dxa"/>
            <w:tcBorders>
              <w:bottom w:val="single" w:sz="4" w:space="0" w:color="auto"/>
            </w:tcBorders>
          </w:tcPr>
          <w:p w14:paraId="464FBAE7" w14:textId="77777777" w:rsidR="00B22AEB" w:rsidRPr="00C45C0D" w:rsidRDefault="00B22AEB" w:rsidP="00426E28">
            <w:pPr>
              <w:pStyle w:val="Tekstpodstawowywcity"/>
              <w:ind w:firstLine="0"/>
              <w:jc w:val="center"/>
              <w:rPr>
                <w:sz w:val="18"/>
              </w:rPr>
            </w:pPr>
            <w:r w:rsidRPr="00C45C0D">
              <w:rPr>
                <w:sz w:val="18"/>
              </w:rPr>
              <w:t>Name</w:t>
            </w:r>
          </w:p>
        </w:tc>
        <w:tc>
          <w:tcPr>
            <w:tcW w:w="1134" w:type="dxa"/>
            <w:tcBorders>
              <w:bottom w:val="single" w:sz="4" w:space="0" w:color="auto"/>
            </w:tcBorders>
          </w:tcPr>
          <w:p w14:paraId="7BC207CE" w14:textId="77777777" w:rsidR="00B22AEB" w:rsidRPr="00C45C0D" w:rsidRDefault="00B22AEB" w:rsidP="00426E28">
            <w:pPr>
              <w:pStyle w:val="Tekstpodstawowywcity"/>
              <w:ind w:firstLine="0"/>
              <w:jc w:val="center"/>
              <w:rPr>
                <w:sz w:val="18"/>
              </w:rPr>
            </w:pPr>
            <w:r w:rsidRPr="00C45C0D">
              <w:rPr>
                <w:sz w:val="18"/>
              </w:rPr>
              <w:t>k</w:t>
            </w:r>
            <w:r w:rsidRPr="00C45C0D">
              <w:rPr>
                <w:sz w:val="18"/>
                <w:vertAlign w:val="subscript"/>
              </w:rPr>
              <w:t>eff</w:t>
            </w:r>
          </w:p>
        </w:tc>
        <w:tc>
          <w:tcPr>
            <w:tcW w:w="1275" w:type="dxa"/>
            <w:tcBorders>
              <w:bottom w:val="single" w:sz="4" w:space="0" w:color="auto"/>
            </w:tcBorders>
          </w:tcPr>
          <w:p w14:paraId="5DB26C82" w14:textId="77777777" w:rsidR="00B22AEB" w:rsidRPr="00C45C0D" w:rsidRDefault="00B22AEB" w:rsidP="00426E28">
            <w:pPr>
              <w:pStyle w:val="Tekstpodstawowywcity"/>
              <w:ind w:firstLine="0"/>
              <w:jc w:val="center"/>
              <w:rPr>
                <w:sz w:val="18"/>
              </w:rPr>
            </w:pPr>
            <w:r w:rsidRPr="00C45C0D">
              <w:rPr>
                <w:sz w:val="18"/>
              </w:rPr>
              <w:t>Error</w:t>
            </w:r>
          </w:p>
        </w:tc>
        <w:tc>
          <w:tcPr>
            <w:tcW w:w="1363" w:type="dxa"/>
            <w:tcBorders>
              <w:bottom w:val="single" w:sz="4" w:space="0" w:color="auto"/>
            </w:tcBorders>
          </w:tcPr>
          <w:p w14:paraId="20F9AF0A" w14:textId="77777777" w:rsidR="00B22AEB" w:rsidRPr="00C45C0D" w:rsidRDefault="00B22AEB" w:rsidP="00426E28">
            <w:pPr>
              <w:pStyle w:val="Tekstpodstawowywcity"/>
              <w:ind w:firstLine="0"/>
              <w:jc w:val="center"/>
              <w:rPr>
                <w:sz w:val="18"/>
              </w:rPr>
            </w:pPr>
            <w:r w:rsidRPr="00C45C0D">
              <w:rPr>
                <w:sz w:val="18"/>
              </w:rPr>
              <w:t>Library</w:t>
            </w:r>
          </w:p>
        </w:tc>
      </w:tr>
      <w:tr w:rsidR="00E936FD" w:rsidRPr="00C45C0D" w14:paraId="6454208F" w14:textId="77777777" w:rsidTr="00426E28">
        <w:tc>
          <w:tcPr>
            <w:tcW w:w="1135" w:type="dxa"/>
            <w:tcBorders>
              <w:bottom w:val="nil"/>
              <w:right w:val="single" w:sz="4" w:space="0" w:color="auto"/>
            </w:tcBorders>
          </w:tcPr>
          <w:p w14:paraId="5895747C" w14:textId="00A3D625" w:rsidR="00E936FD" w:rsidRPr="00C45C0D" w:rsidRDefault="00E936FD" w:rsidP="00E936FD">
            <w:pPr>
              <w:pStyle w:val="Tekstpodstawowywcity"/>
              <w:ind w:firstLine="0"/>
              <w:jc w:val="center"/>
              <w:rPr>
                <w:sz w:val="18"/>
              </w:rPr>
            </w:pPr>
            <w:r w:rsidRPr="00C45C0D">
              <w:rPr>
                <w:sz w:val="18"/>
              </w:rPr>
              <w:t>BA 1</w:t>
            </w:r>
          </w:p>
        </w:tc>
        <w:tc>
          <w:tcPr>
            <w:tcW w:w="1134" w:type="dxa"/>
            <w:tcBorders>
              <w:left w:val="single" w:sz="4" w:space="0" w:color="auto"/>
              <w:bottom w:val="nil"/>
              <w:right w:val="single" w:sz="4" w:space="0" w:color="auto"/>
            </w:tcBorders>
          </w:tcPr>
          <w:p w14:paraId="78A2AA09" w14:textId="2CAACD13" w:rsidR="00E936FD" w:rsidRPr="00C45C0D" w:rsidRDefault="00E936FD" w:rsidP="00E936FD">
            <w:pPr>
              <w:pStyle w:val="Tekstpodstawowywcity"/>
              <w:ind w:firstLine="0"/>
              <w:jc w:val="center"/>
              <w:rPr>
                <w:sz w:val="18"/>
              </w:rPr>
            </w:pPr>
            <w:r w:rsidRPr="00C45C0D">
              <w:rPr>
                <w:sz w:val="18"/>
              </w:rPr>
              <w:t>1.09650</w:t>
            </w:r>
          </w:p>
        </w:tc>
        <w:tc>
          <w:tcPr>
            <w:tcW w:w="1275" w:type="dxa"/>
            <w:tcBorders>
              <w:left w:val="single" w:sz="4" w:space="0" w:color="auto"/>
              <w:bottom w:val="nil"/>
            </w:tcBorders>
          </w:tcPr>
          <w:p w14:paraId="1362182E" w14:textId="6F33AB82" w:rsidR="00E936FD" w:rsidRPr="00C45C0D" w:rsidRDefault="00E936FD" w:rsidP="00E936FD">
            <w:pPr>
              <w:pStyle w:val="Tekstpodstawowywcity"/>
              <w:ind w:firstLine="0"/>
              <w:jc w:val="center"/>
              <w:rPr>
                <w:sz w:val="18"/>
              </w:rPr>
            </w:pPr>
            <w:r w:rsidRPr="00C45C0D">
              <w:rPr>
                <w:sz w:val="18"/>
              </w:rPr>
              <w:t>+/- 0.00057</w:t>
            </w:r>
          </w:p>
        </w:tc>
        <w:tc>
          <w:tcPr>
            <w:tcW w:w="1363" w:type="dxa"/>
            <w:tcBorders>
              <w:left w:val="single" w:sz="4" w:space="0" w:color="auto"/>
              <w:bottom w:val="nil"/>
            </w:tcBorders>
          </w:tcPr>
          <w:p w14:paraId="35464865" w14:textId="52AC2F27" w:rsidR="00E936FD" w:rsidRPr="00C45C0D" w:rsidRDefault="00E936FD" w:rsidP="00E936FD">
            <w:pPr>
              <w:pStyle w:val="Tekstpodstawowywcity"/>
              <w:ind w:firstLine="0"/>
              <w:jc w:val="center"/>
              <w:rPr>
                <w:sz w:val="18"/>
              </w:rPr>
            </w:pPr>
            <w:r w:rsidRPr="00C45C0D">
              <w:rPr>
                <w:sz w:val="18"/>
              </w:rPr>
              <w:t>ENDF/B-VII.1</w:t>
            </w:r>
          </w:p>
        </w:tc>
      </w:tr>
      <w:tr w:rsidR="00325C09" w:rsidRPr="00C45C0D" w14:paraId="2CF1F14B" w14:textId="77777777" w:rsidTr="00426E28">
        <w:tc>
          <w:tcPr>
            <w:tcW w:w="1135" w:type="dxa"/>
            <w:tcBorders>
              <w:top w:val="nil"/>
              <w:right w:val="single" w:sz="4" w:space="0" w:color="auto"/>
            </w:tcBorders>
          </w:tcPr>
          <w:p w14:paraId="35155157" w14:textId="1BEBAF59" w:rsidR="00325C09" w:rsidRPr="00C45C0D" w:rsidRDefault="00325C09" w:rsidP="00325C09">
            <w:pPr>
              <w:pStyle w:val="Tekstpodstawowywcity"/>
              <w:ind w:firstLine="0"/>
              <w:jc w:val="center"/>
              <w:rPr>
                <w:sz w:val="18"/>
              </w:rPr>
            </w:pPr>
            <w:r w:rsidRPr="00C45C0D">
              <w:rPr>
                <w:sz w:val="18"/>
              </w:rPr>
              <w:t>BA 2</w:t>
            </w:r>
          </w:p>
        </w:tc>
        <w:tc>
          <w:tcPr>
            <w:tcW w:w="1134" w:type="dxa"/>
            <w:tcBorders>
              <w:top w:val="nil"/>
              <w:left w:val="single" w:sz="4" w:space="0" w:color="auto"/>
              <w:right w:val="single" w:sz="4" w:space="0" w:color="auto"/>
            </w:tcBorders>
          </w:tcPr>
          <w:p w14:paraId="0DDE57A4" w14:textId="5F7B4F33" w:rsidR="00325C09" w:rsidRPr="00C45C0D" w:rsidRDefault="00325C09" w:rsidP="00325C09">
            <w:pPr>
              <w:pStyle w:val="Tekstpodstawowywcity"/>
              <w:ind w:firstLine="0"/>
              <w:jc w:val="center"/>
              <w:rPr>
                <w:sz w:val="18"/>
              </w:rPr>
            </w:pPr>
            <w:r w:rsidRPr="00C45C0D">
              <w:rPr>
                <w:sz w:val="18"/>
              </w:rPr>
              <w:t>1.09725</w:t>
            </w:r>
          </w:p>
        </w:tc>
        <w:tc>
          <w:tcPr>
            <w:tcW w:w="1275" w:type="dxa"/>
            <w:tcBorders>
              <w:top w:val="nil"/>
              <w:left w:val="single" w:sz="4" w:space="0" w:color="auto"/>
            </w:tcBorders>
          </w:tcPr>
          <w:p w14:paraId="25D4EAAC" w14:textId="459DB150" w:rsidR="00325C09" w:rsidRPr="00C45C0D" w:rsidRDefault="00325C09" w:rsidP="00325C09">
            <w:pPr>
              <w:pStyle w:val="Tekstpodstawowywcity"/>
              <w:ind w:firstLine="0"/>
              <w:jc w:val="center"/>
              <w:rPr>
                <w:sz w:val="18"/>
              </w:rPr>
            </w:pPr>
            <w:r w:rsidRPr="00C45C0D">
              <w:rPr>
                <w:sz w:val="18"/>
              </w:rPr>
              <w:t>+/- 0.00058</w:t>
            </w:r>
          </w:p>
        </w:tc>
        <w:tc>
          <w:tcPr>
            <w:tcW w:w="1363" w:type="dxa"/>
            <w:tcBorders>
              <w:top w:val="nil"/>
              <w:left w:val="single" w:sz="4" w:space="0" w:color="auto"/>
            </w:tcBorders>
          </w:tcPr>
          <w:p w14:paraId="743B95E2" w14:textId="1325CDAA" w:rsidR="00325C09" w:rsidRPr="00C45C0D" w:rsidRDefault="00325C09" w:rsidP="00325C09">
            <w:pPr>
              <w:pStyle w:val="Tekstpodstawowywcity"/>
              <w:ind w:firstLine="0"/>
              <w:jc w:val="center"/>
              <w:rPr>
                <w:sz w:val="18"/>
              </w:rPr>
            </w:pPr>
            <w:r w:rsidRPr="00C45C0D">
              <w:rPr>
                <w:sz w:val="18"/>
              </w:rPr>
              <w:t>JEFF-3.3</w:t>
            </w:r>
          </w:p>
        </w:tc>
      </w:tr>
    </w:tbl>
    <w:p w14:paraId="52A254A6" w14:textId="77777777" w:rsidR="001806D6" w:rsidRPr="00C45C0D" w:rsidRDefault="001806D6" w:rsidP="00CB62B3">
      <w:pPr>
        <w:pStyle w:val="Tekstpodstawowywcity"/>
        <w:rPr>
          <w:b/>
          <w:bCs/>
          <w:sz w:val="22"/>
          <w:szCs w:val="22"/>
        </w:rPr>
      </w:pPr>
    </w:p>
    <w:p w14:paraId="25DA91DA" w14:textId="5E05C19D" w:rsidR="001310BE" w:rsidRPr="00C45C0D" w:rsidRDefault="006833D2" w:rsidP="00630ABA">
      <w:pPr>
        <w:pStyle w:val="Tekstpodstawowywcity"/>
        <w:ind w:firstLine="357"/>
        <w:rPr>
          <w:sz w:val="22"/>
          <w:szCs w:val="22"/>
        </w:rPr>
      </w:pPr>
      <w:r w:rsidRPr="00C45C0D">
        <w:rPr>
          <w:sz w:val="22"/>
          <w:szCs w:val="22"/>
        </w:rPr>
        <w:t xml:space="preserve">Figure 4 presents changes in the neutron multiplication factor as a function of time and fuel burnup. To confirm the results, the characteristics obtained from two nuclear libraries </w:t>
      </w:r>
      <w:r w:rsidR="00E20EBE" w:rsidRPr="00A371FD">
        <w:rPr>
          <w:sz w:val="22"/>
          <w:szCs w:val="22"/>
        </w:rPr>
        <w:t>were</w:t>
      </w:r>
      <w:r w:rsidR="00E20EBE" w:rsidRPr="00C45C0D">
        <w:rPr>
          <w:sz w:val="22"/>
          <w:szCs w:val="22"/>
        </w:rPr>
        <w:t xml:space="preserve"> </w:t>
      </w:r>
      <w:r w:rsidRPr="00C45C0D">
        <w:rPr>
          <w:sz w:val="22"/>
          <w:szCs w:val="22"/>
        </w:rPr>
        <w:t>compared. The</w:t>
      </w:r>
      <w:r w:rsidR="009137BC" w:rsidRPr="00C45C0D">
        <w:rPr>
          <w:sz w:val="22"/>
          <w:szCs w:val="22"/>
        </w:rPr>
        <w:t> </w:t>
      </w:r>
      <w:r w:rsidRPr="00C45C0D">
        <w:rPr>
          <w:sz w:val="22"/>
          <w:szCs w:val="22"/>
        </w:rPr>
        <w:t>slight deviations in the curves are due to differences in information regarding cross</w:t>
      </w:r>
      <w:r w:rsidR="00E20EBE" w:rsidRPr="003C6F28">
        <w:rPr>
          <w:sz w:val="22"/>
          <w:szCs w:val="22"/>
        </w:rPr>
        <w:t>-</w:t>
      </w:r>
      <w:r w:rsidRPr="00C45C0D">
        <w:rPr>
          <w:sz w:val="22"/>
          <w:szCs w:val="22"/>
        </w:rPr>
        <w:t>sections between ENDF/B-VII.1 and JEFF-3.3. Regardless of the type of WBA or BA cases, k</w:t>
      </w:r>
      <w:r w:rsidRPr="00C45C0D">
        <w:rPr>
          <w:sz w:val="22"/>
          <w:szCs w:val="22"/>
          <w:vertAlign w:val="subscript"/>
        </w:rPr>
        <w:t>eff</w:t>
      </w:r>
      <w:r w:rsidRPr="00C45C0D">
        <w:rPr>
          <w:sz w:val="22"/>
          <w:szCs w:val="22"/>
        </w:rPr>
        <w:t xml:space="preserve"> values decrease dynamically at the beginning of the simulation</w:t>
      </w:r>
      <w:r w:rsidR="008F4BE8" w:rsidRPr="00A371FD">
        <w:rPr>
          <w:sz w:val="22"/>
          <w:szCs w:val="22"/>
        </w:rPr>
        <w:t xml:space="preserve"> </w:t>
      </w:r>
      <w:r w:rsidR="008F4BE8" w:rsidRPr="004D3E4D">
        <w:rPr>
          <w:sz w:val="22"/>
          <w:szCs w:val="22"/>
        </w:rPr>
        <w:t xml:space="preserve">at </w:t>
      </w:r>
      <w:r w:rsidR="008F4BE8" w:rsidRPr="00C84E8C">
        <w:rPr>
          <w:sz w:val="22"/>
          <w:szCs w:val="22"/>
        </w:rPr>
        <w:t>t</w:t>
      </w:r>
      <w:r w:rsidR="008F4BE8" w:rsidRPr="00C84E8C">
        <w:rPr>
          <w:sz w:val="22"/>
          <w:szCs w:val="22"/>
          <w:vertAlign w:val="subscript"/>
        </w:rPr>
        <w:t>0</w:t>
      </w:r>
      <w:r w:rsidRPr="004D3E4D">
        <w:rPr>
          <w:sz w:val="22"/>
          <w:szCs w:val="22"/>
        </w:rPr>
        <w:t>.</w:t>
      </w:r>
      <w:r w:rsidR="00E20EBE" w:rsidRPr="003C6F28">
        <w:rPr>
          <w:sz w:val="22"/>
          <w:szCs w:val="22"/>
        </w:rPr>
        <w:t xml:space="preserve"> </w:t>
      </w:r>
      <w:r w:rsidRPr="00C45C0D">
        <w:rPr>
          <w:sz w:val="22"/>
          <w:szCs w:val="22"/>
        </w:rPr>
        <w:t>This is associated with the intense accumulation of</w:t>
      </w:r>
      <w:r w:rsidR="00856B6B" w:rsidRPr="00C45C0D">
        <w:rPr>
          <w:sz w:val="22"/>
          <w:szCs w:val="22"/>
        </w:rPr>
        <w:t> </w:t>
      </w:r>
      <w:r w:rsidRPr="00C45C0D">
        <w:rPr>
          <w:sz w:val="22"/>
          <w:szCs w:val="22"/>
        </w:rPr>
        <w:t>fission products, which increase the probability of</w:t>
      </w:r>
      <w:r w:rsidR="004F7CFA" w:rsidRPr="00C45C0D">
        <w:rPr>
          <w:sz w:val="22"/>
          <w:szCs w:val="22"/>
        </w:rPr>
        <w:t> </w:t>
      </w:r>
      <w:r w:rsidRPr="00C45C0D">
        <w:rPr>
          <w:sz w:val="22"/>
          <w:szCs w:val="22"/>
        </w:rPr>
        <w:t>neutron absorption. There is also an increase in the amount of Xe-135</w:t>
      </w:r>
      <w:r w:rsidR="00E20EBE" w:rsidRPr="003C6F28">
        <w:rPr>
          <w:sz w:val="22"/>
          <w:szCs w:val="22"/>
        </w:rPr>
        <w:t>,</w:t>
      </w:r>
      <w:r w:rsidRPr="00C45C0D">
        <w:rPr>
          <w:sz w:val="22"/>
          <w:szCs w:val="22"/>
        </w:rPr>
        <w:t xml:space="preserve"> affecting the reduction of the</w:t>
      </w:r>
      <w:r w:rsidR="0041159A" w:rsidRPr="00C45C0D">
        <w:rPr>
          <w:sz w:val="22"/>
          <w:szCs w:val="22"/>
        </w:rPr>
        <w:t> </w:t>
      </w:r>
      <w:r w:rsidRPr="00C45C0D">
        <w:rPr>
          <w:sz w:val="22"/>
          <w:szCs w:val="22"/>
        </w:rPr>
        <w:t xml:space="preserve">reactivity reserve due to its large cross-section for thermal neutron </w:t>
      </w:r>
      <w:r w:rsidR="00ED6399" w:rsidRPr="00C45C0D">
        <w:rPr>
          <w:sz w:val="22"/>
          <w:szCs w:val="22"/>
        </w:rPr>
        <w:t>absorption</w:t>
      </w:r>
      <w:r w:rsidRPr="00C45C0D">
        <w:rPr>
          <w:sz w:val="22"/>
          <w:szCs w:val="22"/>
        </w:rPr>
        <w:t xml:space="preserve">. </w:t>
      </w:r>
      <w:r w:rsidR="00E20EBE" w:rsidRPr="003C6F28">
        <w:rPr>
          <w:sz w:val="22"/>
          <w:szCs w:val="22"/>
        </w:rPr>
        <w:t>On the</w:t>
      </w:r>
      <w:r w:rsidRPr="00C45C0D">
        <w:rPr>
          <w:sz w:val="22"/>
          <w:szCs w:val="22"/>
        </w:rPr>
        <w:t xml:space="preserve"> </w:t>
      </w:r>
      <w:r w:rsidR="00E20EBE" w:rsidRPr="00A371FD">
        <w:rPr>
          <w:sz w:val="22"/>
          <w:szCs w:val="22"/>
        </w:rPr>
        <w:t>subsequent</w:t>
      </w:r>
      <w:r w:rsidR="00E20EBE" w:rsidRPr="00C45C0D">
        <w:rPr>
          <w:sz w:val="22"/>
          <w:szCs w:val="22"/>
        </w:rPr>
        <w:t xml:space="preserve"> </w:t>
      </w:r>
      <w:r w:rsidRPr="00C45C0D">
        <w:rPr>
          <w:sz w:val="22"/>
          <w:szCs w:val="22"/>
        </w:rPr>
        <w:t>days of the simulation, k</w:t>
      </w:r>
      <w:r w:rsidRPr="00C45C0D">
        <w:rPr>
          <w:sz w:val="22"/>
          <w:szCs w:val="22"/>
          <w:vertAlign w:val="subscript"/>
        </w:rPr>
        <w:t>eff</w:t>
      </w:r>
      <w:r w:rsidRPr="00C45C0D">
        <w:rPr>
          <w:sz w:val="22"/>
          <w:szCs w:val="22"/>
        </w:rPr>
        <w:t xml:space="preserve"> decreases smoothly.</w:t>
      </w:r>
      <w:r w:rsidR="00E20EBE" w:rsidRPr="003C6F28">
        <w:rPr>
          <w:sz w:val="22"/>
          <w:szCs w:val="22"/>
        </w:rPr>
        <w:t xml:space="preserve"> With time, </w:t>
      </w:r>
      <w:r w:rsidR="002228D2" w:rsidRPr="00C45C0D">
        <w:rPr>
          <w:sz w:val="22"/>
          <w:szCs w:val="22"/>
        </w:rPr>
        <w:t>the amount of fissile material</w:t>
      </w:r>
      <w:r w:rsidR="00AB7C26" w:rsidRPr="00C45C0D">
        <w:rPr>
          <w:sz w:val="22"/>
          <w:szCs w:val="22"/>
        </w:rPr>
        <w:t xml:space="preserve"> in</w:t>
      </w:r>
      <w:r w:rsidR="008B4E12" w:rsidRPr="00C45C0D">
        <w:rPr>
          <w:sz w:val="22"/>
          <w:szCs w:val="22"/>
        </w:rPr>
        <w:t> </w:t>
      </w:r>
      <w:r w:rsidR="00AB7C26" w:rsidRPr="00C45C0D">
        <w:rPr>
          <w:sz w:val="22"/>
          <w:szCs w:val="22"/>
        </w:rPr>
        <w:t>the core</w:t>
      </w:r>
      <w:r w:rsidR="002228D2" w:rsidRPr="00C45C0D">
        <w:rPr>
          <w:sz w:val="22"/>
          <w:szCs w:val="22"/>
        </w:rPr>
        <w:t xml:space="preserve"> is decreasing</w:t>
      </w:r>
      <w:r w:rsidR="00E20EBE" w:rsidRPr="003C6F28">
        <w:rPr>
          <w:sz w:val="22"/>
          <w:szCs w:val="22"/>
        </w:rPr>
        <w:t xml:space="preserve"> due to the depletion of U-235</w:t>
      </w:r>
      <w:r w:rsidR="002228D2" w:rsidRPr="00C45C0D">
        <w:rPr>
          <w:sz w:val="22"/>
          <w:szCs w:val="22"/>
        </w:rPr>
        <w:t>.</w:t>
      </w:r>
      <w:r w:rsidR="008021AA" w:rsidRPr="00C45C0D">
        <w:rPr>
          <w:sz w:val="22"/>
          <w:szCs w:val="22"/>
        </w:rPr>
        <w:t xml:space="preserve"> </w:t>
      </w:r>
      <w:r w:rsidR="001310BE" w:rsidRPr="00C45C0D">
        <w:rPr>
          <w:sz w:val="22"/>
          <w:szCs w:val="22"/>
        </w:rPr>
        <w:t xml:space="preserve">This results in </w:t>
      </w:r>
      <w:r w:rsidR="00AB7C26" w:rsidRPr="00C45C0D">
        <w:rPr>
          <w:sz w:val="22"/>
          <w:szCs w:val="22"/>
        </w:rPr>
        <w:t xml:space="preserve">a </w:t>
      </w:r>
      <w:r w:rsidR="005430CA">
        <w:rPr>
          <w:sz w:val="22"/>
          <w:szCs w:val="22"/>
        </w:rPr>
        <w:t>burnup</w:t>
      </w:r>
      <w:r w:rsidR="001310BE" w:rsidRPr="00C45C0D">
        <w:rPr>
          <w:sz w:val="22"/>
          <w:szCs w:val="22"/>
        </w:rPr>
        <w:t xml:space="preserve"> and a corresponding decrease in excess reactivity.</w:t>
      </w:r>
    </w:p>
    <w:p w14:paraId="5C3BA40F" w14:textId="456A6508" w:rsidR="00AA2097" w:rsidRPr="00C45C0D" w:rsidRDefault="006833D2" w:rsidP="00122FA1">
      <w:pPr>
        <w:pStyle w:val="Tekstpodstawowywcity"/>
        <w:rPr>
          <w:sz w:val="22"/>
          <w:szCs w:val="22"/>
        </w:rPr>
      </w:pPr>
      <w:r w:rsidRPr="00C45C0D">
        <w:rPr>
          <w:sz w:val="22"/>
          <w:szCs w:val="22"/>
        </w:rPr>
        <w:t xml:space="preserve">For the WBA simulations, </w:t>
      </w:r>
      <w:r w:rsidR="007D0B92" w:rsidRPr="00C45C0D">
        <w:rPr>
          <w:sz w:val="22"/>
          <w:szCs w:val="22"/>
        </w:rPr>
        <w:t>k</w:t>
      </w:r>
      <w:r w:rsidR="007D0B92" w:rsidRPr="00C45C0D">
        <w:rPr>
          <w:sz w:val="22"/>
          <w:szCs w:val="22"/>
          <w:vertAlign w:val="subscript"/>
        </w:rPr>
        <w:t>eff</w:t>
      </w:r>
      <w:r w:rsidR="007D0B92" w:rsidRPr="00C45C0D">
        <w:rPr>
          <w:sz w:val="22"/>
          <w:szCs w:val="22"/>
        </w:rPr>
        <w:t xml:space="preserve"> </w:t>
      </w:r>
      <w:r w:rsidRPr="00C45C0D">
        <w:rPr>
          <w:sz w:val="22"/>
          <w:szCs w:val="22"/>
        </w:rPr>
        <w:t>reaches a value of</w:t>
      </w:r>
      <w:r w:rsidR="00D67C59" w:rsidRPr="00C45C0D">
        <w:rPr>
          <w:sz w:val="22"/>
          <w:szCs w:val="22"/>
        </w:rPr>
        <w:t> </w:t>
      </w:r>
      <w:r w:rsidRPr="00C45C0D">
        <w:rPr>
          <w:sz w:val="22"/>
          <w:szCs w:val="22"/>
        </w:rPr>
        <w:t xml:space="preserve"> </w:t>
      </w:r>
      <w:r w:rsidR="008F4BE8" w:rsidRPr="003C6F28">
        <w:rPr>
          <w:sz w:val="22"/>
          <w:szCs w:val="22"/>
        </w:rPr>
        <w:t>k</w:t>
      </w:r>
      <w:r w:rsidR="008F4BE8" w:rsidRPr="003C6F28">
        <w:rPr>
          <w:sz w:val="22"/>
          <w:szCs w:val="22"/>
          <w:vertAlign w:val="subscript"/>
        </w:rPr>
        <w:t>eff</w:t>
      </w:r>
      <w:r w:rsidR="004D3E4D">
        <w:rPr>
          <w:sz w:val="22"/>
          <w:szCs w:val="22"/>
        </w:rPr>
        <w:t xml:space="preserve"> </w:t>
      </w:r>
      <w:r w:rsidR="008F4BE8" w:rsidRPr="003C6F28">
        <w:rPr>
          <w:sz w:val="22"/>
          <w:szCs w:val="22"/>
        </w:rPr>
        <w:t>&lt;</w:t>
      </w:r>
      <w:r w:rsidR="004D3E4D">
        <w:rPr>
          <w:sz w:val="22"/>
          <w:szCs w:val="22"/>
        </w:rPr>
        <w:t xml:space="preserve"> </w:t>
      </w:r>
      <w:r w:rsidR="008F4BE8" w:rsidRPr="003C6F28">
        <w:rPr>
          <w:sz w:val="22"/>
          <w:szCs w:val="22"/>
        </w:rPr>
        <w:t>1</w:t>
      </w:r>
      <w:r w:rsidRPr="00C45C0D">
        <w:rPr>
          <w:sz w:val="22"/>
          <w:szCs w:val="22"/>
        </w:rPr>
        <w:t xml:space="preserve"> at 700 days</w:t>
      </w:r>
      <w:r w:rsidR="00E20EBE" w:rsidRPr="003C6F28">
        <w:rPr>
          <w:sz w:val="22"/>
          <w:szCs w:val="22"/>
        </w:rPr>
        <w:t>,</w:t>
      </w:r>
      <w:r w:rsidRPr="00C45C0D">
        <w:rPr>
          <w:sz w:val="22"/>
          <w:szCs w:val="22"/>
        </w:rPr>
        <w:t xml:space="preserve"> corresponding to a burnup of 25 MWd/kgU. In the case of BA, the </w:t>
      </w:r>
      <w:r w:rsidR="008F4BE8" w:rsidRPr="003C6F28">
        <w:rPr>
          <w:sz w:val="22"/>
          <w:szCs w:val="22"/>
        </w:rPr>
        <w:t xml:space="preserve">same </w:t>
      </w:r>
      <w:r w:rsidRPr="00C45C0D">
        <w:rPr>
          <w:sz w:val="22"/>
          <w:szCs w:val="22"/>
        </w:rPr>
        <w:t>transition point is 200 days and 7.5 MWd/kgU. It</w:t>
      </w:r>
      <w:r w:rsidR="001D4E25" w:rsidRPr="00C45C0D">
        <w:rPr>
          <w:sz w:val="22"/>
          <w:szCs w:val="22"/>
        </w:rPr>
        <w:t> </w:t>
      </w:r>
      <w:r w:rsidRPr="00C45C0D">
        <w:rPr>
          <w:sz w:val="22"/>
          <w:szCs w:val="22"/>
        </w:rPr>
        <w:t xml:space="preserve">means that in the case of not using boric acid in the coolant, the chain reaction would have been sustained for about 23 months, and the reactor would have been able to operate. The manufacturer of the AP1000 expects the duration of the first fuel cycle to be 18 months with a burnup of 21 MWd/kgU. The difference in simulation results and parameters given by Westinghouse Electric Company is </w:t>
      </w:r>
      <w:r w:rsidR="00E20EBE" w:rsidRPr="003C6F28">
        <w:rPr>
          <w:sz w:val="22"/>
          <w:szCs w:val="22"/>
        </w:rPr>
        <w:t xml:space="preserve">likely </w:t>
      </w:r>
      <w:r w:rsidRPr="00C45C0D">
        <w:rPr>
          <w:sz w:val="22"/>
          <w:szCs w:val="22"/>
        </w:rPr>
        <w:t xml:space="preserve">due to the </w:t>
      </w:r>
      <w:r w:rsidR="00AB7C26" w:rsidRPr="00C45C0D">
        <w:rPr>
          <w:sz w:val="22"/>
          <w:szCs w:val="22"/>
        </w:rPr>
        <w:t>absence</w:t>
      </w:r>
      <w:r w:rsidRPr="00C45C0D">
        <w:rPr>
          <w:sz w:val="22"/>
          <w:szCs w:val="22"/>
        </w:rPr>
        <w:t xml:space="preserve"> of use of burnable absorbers in the model and the lack of change in boric acid concentration during the cycle. </w:t>
      </w:r>
    </w:p>
    <w:p w14:paraId="5788431E" w14:textId="65BEA362" w:rsidR="00C167BC" w:rsidRPr="00C45C0D" w:rsidRDefault="006833D2" w:rsidP="00FD1808">
      <w:pPr>
        <w:pStyle w:val="Tekstpodstawowywcity"/>
        <w:rPr>
          <w:sz w:val="22"/>
          <w:szCs w:val="22"/>
        </w:rPr>
      </w:pPr>
      <w:r w:rsidRPr="00C45C0D">
        <w:rPr>
          <w:sz w:val="22"/>
          <w:szCs w:val="22"/>
        </w:rPr>
        <w:t>The obtained k</w:t>
      </w:r>
      <w:r w:rsidRPr="00C45C0D">
        <w:rPr>
          <w:sz w:val="22"/>
          <w:szCs w:val="22"/>
          <w:vertAlign w:val="subscript"/>
        </w:rPr>
        <w:t xml:space="preserve">eff </w:t>
      </w:r>
      <w:r w:rsidRPr="00C45C0D">
        <w:rPr>
          <w:sz w:val="22"/>
          <w:szCs w:val="22"/>
        </w:rPr>
        <w:t xml:space="preserve">uncertainty is at the level of </w:t>
      </w:r>
      <w:r w:rsidR="00FD1808" w:rsidRPr="00C45C0D">
        <w:rPr>
          <w:sz w:val="22"/>
          <w:szCs w:val="22"/>
        </w:rPr>
        <w:t xml:space="preserve"> </w:t>
      </w:r>
      <w:r w:rsidR="009519F4" w:rsidRPr="00C45C0D">
        <w:rPr>
          <w:sz w:val="22"/>
          <w:szCs w:val="22"/>
        </w:rPr>
        <w:br/>
      </w:r>
      <w:r w:rsidR="008F4BE8" w:rsidRPr="003C6F28">
        <w:rPr>
          <w:sz w:val="22"/>
          <w:szCs w:val="22"/>
        </w:rPr>
        <w:t xml:space="preserve">one part per </w:t>
      </w:r>
      <w:r w:rsidRPr="00C45C0D">
        <w:rPr>
          <w:sz w:val="22"/>
          <w:szCs w:val="22"/>
        </w:rPr>
        <w:t>ten</w:t>
      </w:r>
      <w:r w:rsidR="008F4BE8" w:rsidRPr="003C6F28">
        <w:rPr>
          <w:sz w:val="22"/>
          <w:szCs w:val="22"/>
        </w:rPr>
        <w:t xml:space="preserve"> </w:t>
      </w:r>
      <w:r w:rsidRPr="00C45C0D">
        <w:rPr>
          <w:sz w:val="22"/>
          <w:szCs w:val="22"/>
        </w:rPr>
        <w:t xml:space="preserve">thousand. </w:t>
      </w:r>
      <w:r w:rsidR="008F4BE8" w:rsidRPr="003C6F28">
        <w:rPr>
          <w:sz w:val="22"/>
          <w:szCs w:val="22"/>
        </w:rPr>
        <w:t>This is the result of the initial condition taken to be</w:t>
      </w:r>
      <w:r w:rsidRPr="00C45C0D">
        <w:rPr>
          <w:sz w:val="22"/>
          <w:szCs w:val="22"/>
        </w:rPr>
        <w:t xml:space="preserve"> 10000 neutrons per </w:t>
      </w:r>
      <w:r w:rsidR="00BA711E" w:rsidRPr="00C45C0D">
        <w:rPr>
          <w:sz w:val="22"/>
          <w:szCs w:val="22"/>
        </w:rPr>
        <w:t>calculation</w:t>
      </w:r>
      <w:r w:rsidRPr="00C45C0D">
        <w:rPr>
          <w:sz w:val="22"/>
          <w:szCs w:val="22"/>
        </w:rPr>
        <w:t xml:space="preserve"> cycle. Increasing the number of</w:t>
      </w:r>
      <w:r w:rsidR="0033217A" w:rsidRPr="00C45C0D">
        <w:rPr>
          <w:sz w:val="22"/>
          <w:szCs w:val="22"/>
        </w:rPr>
        <w:t xml:space="preserve"> </w:t>
      </w:r>
      <w:r w:rsidRPr="00C45C0D">
        <w:rPr>
          <w:sz w:val="22"/>
          <w:szCs w:val="22"/>
        </w:rPr>
        <w:t xml:space="preserve">neutrons and </w:t>
      </w:r>
      <w:r w:rsidR="00DA47C1" w:rsidRPr="00C45C0D">
        <w:rPr>
          <w:sz w:val="22"/>
          <w:szCs w:val="22"/>
        </w:rPr>
        <w:t xml:space="preserve">calculation </w:t>
      </w:r>
      <w:r w:rsidRPr="00C45C0D">
        <w:rPr>
          <w:sz w:val="22"/>
          <w:szCs w:val="22"/>
        </w:rPr>
        <w:t>cycles would</w:t>
      </w:r>
      <w:r w:rsidR="00E20EBE" w:rsidRPr="003C6F28">
        <w:rPr>
          <w:sz w:val="22"/>
          <w:szCs w:val="22"/>
        </w:rPr>
        <w:t xml:space="preserve"> likely</w:t>
      </w:r>
      <w:r w:rsidRPr="00C45C0D">
        <w:rPr>
          <w:sz w:val="22"/>
          <w:szCs w:val="22"/>
        </w:rPr>
        <w:t xml:space="preserve"> allow to</w:t>
      </w:r>
      <w:r w:rsidR="00B4151A" w:rsidRPr="00C45C0D">
        <w:rPr>
          <w:sz w:val="22"/>
          <w:szCs w:val="22"/>
        </w:rPr>
        <w:t> </w:t>
      </w:r>
      <w:r w:rsidRPr="00C45C0D">
        <w:rPr>
          <w:sz w:val="22"/>
          <w:szCs w:val="22"/>
        </w:rPr>
        <w:t>obtain lower uncertainties,</w:t>
      </w:r>
      <w:r w:rsidR="00E20EBE" w:rsidRPr="003C6F28">
        <w:rPr>
          <w:sz w:val="22"/>
          <w:szCs w:val="22"/>
        </w:rPr>
        <w:t xml:space="preserve"> however, it would require a significant increase the </w:t>
      </w:r>
      <w:r w:rsidRPr="00C45C0D">
        <w:rPr>
          <w:sz w:val="22"/>
          <w:szCs w:val="22"/>
        </w:rPr>
        <w:t>computing power</w:t>
      </w:r>
      <w:r w:rsidR="00E20EBE" w:rsidRPr="003C6F28">
        <w:rPr>
          <w:sz w:val="22"/>
          <w:szCs w:val="22"/>
        </w:rPr>
        <w:t xml:space="preserve"> required to run the simulation</w:t>
      </w:r>
      <w:r w:rsidRPr="00C45C0D">
        <w:rPr>
          <w:sz w:val="22"/>
          <w:szCs w:val="22"/>
        </w:rPr>
        <w:t>.</w:t>
      </w:r>
    </w:p>
    <w:p w14:paraId="7AE00023" w14:textId="77777777" w:rsidR="00303148" w:rsidRPr="00C45C0D" w:rsidRDefault="00303148" w:rsidP="00715B23">
      <w:pPr>
        <w:pStyle w:val="Tekstpodstawowywcity"/>
        <w:rPr>
          <w:sz w:val="22"/>
          <w:szCs w:val="22"/>
        </w:rPr>
      </w:pPr>
    </w:p>
    <w:p w14:paraId="7E9FBDCE" w14:textId="71BC3DAA" w:rsidR="00303148" w:rsidRPr="00A371FD" w:rsidRDefault="00B607FF" w:rsidP="00B607FF">
      <w:pPr>
        <w:pStyle w:val="Tekstpodstawowywcity"/>
        <w:ind w:firstLine="0"/>
        <w:rPr>
          <w:sz w:val="22"/>
          <w:szCs w:val="22"/>
        </w:rPr>
      </w:pPr>
      <w:r w:rsidRPr="00A371FD">
        <w:rPr>
          <w:noProof/>
        </w:rPr>
        <w:drawing>
          <wp:inline distT="0" distB="0" distL="0" distR="0" wp14:anchorId="5D96A8CE" wp14:editId="4A6FDF37">
            <wp:extent cx="3067313" cy="1742440"/>
            <wp:effectExtent l="0" t="0" r="0" b="0"/>
            <wp:docPr id="6"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5"/>
                    <pic:cNvPicPr>
                      <a:picLocks noChangeAspect="1" noChangeArrowheads="1"/>
                    </pic:cNvPicPr>
                  </pic:nvPicPr>
                  <pic:blipFill>
                    <a:blip r:embed="rId16"/>
                    <a:stretch>
                      <a:fillRect/>
                    </a:stretch>
                  </pic:blipFill>
                  <pic:spPr bwMode="auto">
                    <a:xfrm>
                      <a:off x="0" y="0"/>
                      <a:ext cx="3074980" cy="1746795"/>
                    </a:xfrm>
                    <a:prstGeom prst="rect">
                      <a:avLst/>
                    </a:prstGeom>
                  </pic:spPr>
                </pic:pic>
              </a:graphicData>
            </a:graphic>
          </wp:inline>
        </w:drawing>
      </w:r>
    </w:p>
    <w:p w14:paraId="57215B01" w14:textId="52979B2E" w:rsidR="00303148" w:rsidRPr="00A371FD" w:rsidRDefault="0091543E" w:rsidP="00A90F05">
      <w:pPr>
        <w:pStyle w:val="Tekstpodstawowywcity"/>
        <w:ind w:firstLine="0"/>
        <w:rPr>
          <w:i/>
          <w:iCs/>
        </w:rPr>
      </w:pPr>
      <w:r w:rsidRPr="00A371FD">
        <w:rPr>
          <w:i/>
          <w:iCs/>
        </w:rPr>
        <w:t>Fig. 4. Changes in neutron effective multiplication factor as a function of time and fuel burnup.</w:t>
      </w:r>
    </w:p>
    <w:p w14:paraId="4BBFA8F7" w14:textId="77777777" w:rsidR="00303148" w:rsidRPr="00A371FD" w:rsidRDefault="00303148">
      <w:pPr>
        <w:pStyle w:val="Tekstpodstawowywcity"/>
        <w:jc w:val="center"/>
        <w:rPr>
          <w:sz w:val="22"/>
          <w:szCs w:val="22"/>
        </w:rPr>
      </w:pPr>
    </w:p>
    <w:p w14:paraId="367F21F5" w14:textId="3EC74C1E" w:rsidR="00303148" w:rsidRPr="00A371FD" w:rsidRDefault="009C691C" w:rsidP="005442BC">
      <w:pPr>
        <w:pStyle w:val="Tekstpodstawowywcity"/>
        <w:rPr>
          <w:b/>
          <w:bCs/>
          <w:i/>
          <w:iCs/>
          <w:sz w:val="22"/>
          <w:szCs w:val="22"/>
        </w:rPr>
      </w:pPr>
      <w:r w:rsidRPr="00A371FD">
        <w:rPr>
          <w:b/>
          <w:bCs/>
          <w:i/>
          <w:iCs/>
          <w:sz w:val="22"/>
          <w:szCs w:val="22"/>
        </w:rPr>
        <w:t xml:space="preserve">IV.B. Neutron Spectrum  </w:t>
      </w:r>
    </w:p>
    <w:p w14:paraId="1B748C60" w14:textId="77777777" w:rsidR="00303148" w:rsidRPr="00A371FD" w:rsidRDefault="00303148" w:rsidP="002317E3">
      <w:pPr>
        <w:pStyle w:val="Tekstpodstawowywcity"/>
        <w:ind w:firstLine="0"/>
        <w:rPr>
          <w:sz w:val="22"/>
          <w:szCs w:val="22"/>
        </w:rPr>
      </w:pPr>
    </w:p>
    <w:p w14:paraId="7D5CB41A" w14:textId="54D51A5C" w:rsidR="00AA2097" w:rsidRPr="00A371FD" w:rsidRDefault="0041091C" w:rsidP="00A371FD">
      <w:pPr>
        <w:pStyle w:val="Tekstpodstawowywcity"/>
        <w:ind w:firstLine="0"/>
        <w:rPr>
          <w:sz w:val="22"/>
          <w:szCs w:val="22"/>
        </w:rPr>
      </w:pPr>
      <w:r w:rsidRPr="00A371FD">
        <w:rPr>
          <w:sz w:val="22"/>
          <w:szCs w:val="22"/>
        </w:rPr>
        <w:t>Figure 5 shows the neutron flux density as a function of neutron energy. The curve characteri</w:t>
      </w:r>
      <w:r w:rsidR="00C45C0D">
        <w:rPr>
          <w:sz w:val="22"/>
          <w:szCs w:val="22"/>
        </w:rPr>
        <w:t>z</w:t>
      </w:r>
      <w:r w:rsidRPr="00A371FD">
        <w:rPr>
          <w:sz w:val="22"/>
          <w:szCs w:val="22"/>
        </w:rPr>
        <w:t>ation was based on data from WBA and BA using the ENDF/B-VII.1 library. The neutron spectrum obtained is consistent with typical trends for PWR reactors</w:t>
      </w:r>
      <w:r w:rsidR="00E20EBE" w:rsidRPr="00A371FD">
        <w:rPr>
          <w:sz w:val="22"/>
          <w:szCs w:val="22"/>
        </w:rPr>
        <w:t xml:space="preserve"> presented in other studies </w:t>
      </w:r>
      <w:r w:rsidRPr="00A371FD">
        <w:rPr>
          <w:sz w:val="22"/>
          <w:szCs w:val="22"/>
        </w:rPr>
        <w:t>[10]. Using a greater concentration of H</w:t>
      </w:r>
      <w:r w:rsidRPr="00A371FD">
        <w:rPr>
          <w:sz w:val="22"/>
          <w:szCs w:val="22"/>
          <w:vertAlign w:val="subscript"/>
        </w:rPr>
        <w:t>3</w:t>
      </w:r>
      <w:r w:rsidRPr="00A371FD">
        <w:rPr>
          <w:sz w:val="22"/>
          <w:szCs w:val="22"/>
        </w:rPr>
        <w:t>BO</w:t>
      </w:r>
      <w:r w:rsidRPr="00A371FD">
        <w:rPr>
          <w:sz w:val="22"/>
          <w:szCs w:val="22"/>
          <w:vertAlign w:val="subscript"/>
        </w:rPr>
        <w:t>3</w:t>
      </w:r>
      <w:r w:rsidRPr="00A371FD">
        <w:rPr>
          <w:sz w:val="22"/>
          <w:szCs w:val="22"/>
        </w:rPr>
        <w:t xml:space="preserve"> would result in a higher neutron flux density in the energy range from 10</w:t>
      </w:r>
      <w:r w:rsidRPr="00A371FD">
        <w:rPr>
          <w:sz w:val="22"/>
          <w:szCs w:val="22"/>
          <w:vertAlign w:val="superscript"/>
        </w:rPr>
        <w:t xml:space="preserve">-7 </w:t>
      </w:r>
      <w:r w:rsidRPr="00A371FD">
        <w:rPr>
          <w:sz w:val="22"/>
          <w:szCs w:val="22"/>
        </w:rPr>
        <w:t>MeV to 10 MeV. Despite the addition of low</w:t>
      </w:r>
      <w:r w:rsidR="00E20EBE" w:rsidRPr="00A371FD">
        <w:rPr>
          <w:sz w:val="22"/>
          <w:szCs w:val="22"/>
        </w:rPr>
        <w:t>-</w:t>
      </w:r>
      <w:r w:rsidRPr="00A371FD">
        <w:rPr>
          <w:sz w:val="22"/>
          <w:szCs w:val="22"/>
        </w:rPr>
        <w:t xml:space="preserve">concentration boric acid to the coolant in the simulation, its effect on the spectrum of neutrons with thermal energies can be </w:t>
      </w:r>
      <w:r w:rsidR="00E20EBE" w:rsidRPr="00A371FD">
        <w:rPr>
          <w:sz w:val="22"/>
          <w:szCs w:val="22"/>
        </w:rPr>
        <w:t xml:space="preserve">clearly </w:t>
      </w:r>
      <w:r w:rsidRPr="00A371FD">
        <w:rPr>
          <w:sz w:val="22"/>
          <w:szCs w:val="22"/>
        </w:rPr>
        <w:t>seen. The</w:t>
      </w:r>
      <w:r w:rsidR="00E20EBE" w:rsidRPr="00A371FD">
        <w:rPr>
          <w:sz w:val="22"/>
          <w:szCs w:val="22"/>
        </w:rPr>
        <w:t xml:space="preserve"> </w:t>
      </w:r>
      <w:r w:rsidRPr="00A371FD">
        <w:rPr>
          <w:sz w:val="22"/>
          <w:szCs w:val="22"/>
        </w:rPr>
        <w:t>addition of boric acid results in a reduction of neutron flux density for energies below 1 eV.</w:t>
      </w:r>
    </w:p>
    <w:p w14:paraId="1110D615" w14:textId="6C631F0B" w:rsidR="00EB54B4" w:rsidRPr="003C6F28" w:rsidRDefault="00B53545" w:rsidP="002317E3">
      <w:pPr>
        <w:pStyle w:val="Tekstpodstawowywcity"/>
        <w:ind w:firstLine="0"/>
        <w:rPr>
          <w:sz w:val="22"/>
          <w:szCs w:val="22"/>
        </w:rPr>
      </w:pPr>
      <w:r w:rsidRPr="003C6F28">
        <w:rPr>
          <w:noProof/>
        </w:rPr>
        <w:drawing>
          <wp:inline distT="0" distB="0" distL="0" distR="0" wp14:anchorId="31AACA8E" wp14:editId="571B1DCE">
            <wp:extent cx="2852058" cy="2201525"/>
            <wp:effectExtent l="0" t="0" r="5715" b="8890"/>
            <wp:docPr id="8"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6"/>
                    <pic:cNvPicPr>
                      <a:picLocks noChangeAspect="1" noChangeArrowheads="1"/>
                    </pic:cNvPicPr>
                  </pic:nvPicPr>
                  <pic:blipFill>
                    <a:blip r:embed="rId17"/>
                    <a:stretch>
                      <a:fillRect/>
                    </a:stretch>
                  </pic:blipFill>
                  <pic:spPr bwMode="auto">
                    <a:xfrm>
                      <a:off x="0" y="0"/>
                      <a:ext cx="2870729" cy="2215937"/>
                    </a:xfrm>
                    <a:prstGeom prst="rect">
                      <a:avLst/>
                    </a:prstGeom>
                  </pic:spPr>
                </pic:pic>
              </a:graphicData>
            </a:graphic>
          </wp:inline>
        </w:drawing>
      </w:r>
    </w:p>
    <w:p w14:paraId="0AF2EBC1" w14:textId="165A9645" w:rsidR="00303148" w:rsidRPr="003C6F28" w:rsidRDefault="00AB6E26" w:rsidP="00AB6E26">
      <w:pPr>
        <w:pStyle w:val="Tekstpodstawowywcity"/>
        <w:jc w:val="left"/>
        <w:rPr>
          <w:i/>
          <w:iCs/>
        </w:rPr>
      </w:pPr>
      <w:r w:rsidRPr="003C6F28">
        <w:rPr>
          <w:i/>
          <w:iCs/>
        </w:rPr>
        <w:t>Fig. 5. Neutron flux as a function of neutrons energy.</w:t>
      </w:r>
    </w:p>
    <w:p w14:paraId="60612C81" w14:textId="77777777" w:rsidR="00035569" w:rsidRPr="003C6F28" w:rsidRDefault="00035569" w:rsidP="00AB6E26">
      <w:pPr>
        <w:pStyle w:val="Tekstpodstawowywcity"/>
        <w:jc w:val="left"/>
        <w:rPr>
          <w:i/>
          <w:iCs/>
        </w:rPr>
      </w:pPr>
    </w:p>
    <w:p w14:paraId="7D202E48" w14:textId="58E75C99" w:rsidR="00035569" w:rsidRPr="003C6F28" w:rsidRDefault="003A7891" w:rsidP="00AB6E26">
      <w:pPr>
        <w:pStyle w:val="Tekstpodstawowywcity"/>
        <w:jc w:val="left"/>
        <w:rPr>
          <w:b/>
          <w:bCs/>
          <w:i/>
          <w:iCs/>
          <w:sz w:val="22"/>
          <w:szCs w:val="22"/>
        </w:rPr>
      </w:pPr>
      <w:r w:rsidRPr="003C6F28">
        <w:rPr>
          <w:b/>
          <w:bCs/>
          <w:i/>
          <w:iCs/>
          <w:sz w:val="22"/>
          <w:szCs w:val="22"/>
        </w:rPr>
        <w:t>IV.C. Uranium Isotopes</w:t>
      </w:r>
    </w:p>
    <w:p w14:paraId="6BAB5D4F" w14:textId="77777777" w:rsidR="00303148" w:rsidRPr="003C6F28" w:rsidRDefault="00303148">
      <w:pPr>
        <w:pStyle w:val="Tekstpodstawowywcity"/>
        <w:jc w:val="center"/>
        <w:rPr>
          <w:sz w:val="22"/>
          <w:szCs w:val="22"/>
        </w:rPr>
      </w:pPr>
    </w:p>
    <w:p w14:paraId="3FE19EB0" w14:textId="03E39372" w:rsidR="00303148" w:rsidRPr="003C6F28" w:rsidRDefault="00BE2941" w:rsidP="006916E9">
      <w:pPr>
        <w:pStyle w:val="Tekstpodstawowywcity"/>
        <w:ind w:firstLine="0"/>
        <w:rPr>
          <w:sz w:val="22"/>
          <w:szCs w:val="22"/>
        </w:rPr>
      </w:pPr>
      <w:r w:rsidRPr="003C6F28">
        <w:rPr>
          <w:noProof/>
        </w:rPr>
        <w:drawing>
          <wp:inline distT="0" distB="0" distL="0" distR="0" wp14:anchorId="2A93A349" wp14:editId="70B0FD34">
            <wp:extent cx="3028950" cy="1614464"/>
            <wp:effectExtent l="0" t="0" r="0" b="5080"/>
            <wp:docPr id="9"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7"/>
                    <pic:cNvPicPr>
                      <a:picLocks noChangeAspect="1" noChangeArrowheads="1"/>
                    </pic:cNvPicPr>
                  </pic:nvPicPr>
                  <pic:blipFill>
                    <a:blip r:embed="rId18"/>
                    <a:stretch>
                      <a:fillRect/>
                    </a:stretch>
                  </pic:blipFill>
                  <pic:spPr bwMode="auto">
                    <a:xfrm>
                      <a:off x="0" y="0"/>
                      <a:ext cx="3028950" cy="1614464"/>
                    </a:xfrm>
                    <a:prstGeom prst="rect">
                      <a:avLst/>
                    </a:prstGeom>
                  </pic:spPr>
                </pic:pic>
              </a:graphicData>
            </a:graphic>
          </wp:inline>
        </w:drawing>
      </w:r>
    </w:p>
    <w:p w14:paraId="6591B3A3" w14:textId="1E4DF19D" w:rsidR="00303148" w:rsidRPr="003C6F28" w:rsidRDefault="000F5697" w:rsidP="000F5697">
      <w:pPr>
        <w:pStyle w:val="Tekstpodstawowywcity"/>
        <w:ind w:firstLine="0"/>
        <w:rPr>
          <w:i/>
          <w:iCs/>
        </w:rPr>
      </w:pPr>
      <w:r w:rsidRPr="003C6F28">
        <w:rPr>
          <w:i/>
          <w:iCs/>
        </w:rPr>
        <w:t>Fig. 6. Mass changes of uranium isotopes U-235 and U-236 as a function of time.</w:t>
      </w:r>
    </w:p>
    <w:p w14:paraId="131EE2A2" w14:textId="77777777" w:rsidR="00D10E2C" w:rsidRPr="003C6F28" w:rsidRDefault="00D10E2C" w:rsidP="000F5697">
      <w:pPr>
        <w:pStyle w:val="Tekstpodstawowywcity"/>
        <w:ind w:firstLine="0"/>
        <w:rPr>
          <w:i/>
          <w:iCs/>
        </w:rPr>
      </w:pPr>
    </w:p>
    <w:p w14:paraId="65754CE3" w14:textId="5D03441C" w:rsidR="00D10E2C" w:rsidRPr="003C6F28" w:rsidRDefault="00D10E2C" w:rsidP="000F5697">
      <w:pPr>
        <w:pStyle w:val="Tekstpodstawowywcity"/>
        <w:ind w:firstLine="0"/>
        <w:rPr>
          <w:i/>
          <w:iCs/>
        </w:rPr>
      </w:pPr>
      <w:r w:rsidRPr="003C6F28">
        <w:rPr>
          <w:noProof/>
        </w:rPr>
        <w:drawing>
          <wp:inline distT="0" distB="0" distL="0" distR="0" wp14:anchorId="6158C3AE" wp14:editId="22C8F747">
            <wp:extent cx="3028950" cy="1435271"/>
            <wp:effectExtent l="0" t="0" r="0" b="0"/>
            <wp:docPr id="10" name="Obra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8"/>
                    <pic:cNvPicPr>
                      <a:picLocks noChangeAspect="1" noChangeArrowheads="1"/>
                    </pic:cNvPicPr>
                  </pic:nvPicPr>
                  <pic:blipFill>
                    <a:blip r:embed="rId19"/>
                    <a:stretch>
                      <a:fillRect/>
                    </a:stretch>
                  </pic:blipFill>
                  <pic:spPr bwMode="auto">
                    <a:xfrm>
                      <a:off x="0" y="0"/>
                      <a:ext cx="3028950" cy="1435271"/>
                    </a:xfrm>
                    <a:prstGeom prst="rect">
                      <a:avLst/>
                    </a:prstGeom>
                  </pic:spPr>
                </pic:pic>
              </a:graphicData>
            </a:graphic>
          </wp:inline>
        </w:drawing>
      </w:r>
    </w:p>
    <w:p w14:paraId="7E802D30" w14:textId="6AC1483D" w:rsidR="000F5697" w:rsidRPr="003C6F28" w:rsidRDefault="0055008F" w:rsidP="000F5697">
      <w:pPr>
        <w:pStyle w:val="Tekstpodstawowywcity"/>
        <w:ind w:firstLine="0"/>
        <w:rPr>
          <w:i/>
          <w:iCs/>
        </w:rPr>
      </w:pPr>
      <w:r w:rsidRPr="003C6F28">
        <w:rPr>
          <w:i/>
          <w:iCs/>
        </w:rPr>
        <w:t>Fig. 7. Mass changes of uranium isotope U-238 as a function of time.</w:t>
      </w:r>
    </w:p>
    <w:p w14:paraId="7683D3FF" w14:textId="77777777" w:rsidR="000F5697" w:rsidRPr="003C6F28" w:rsidRDefault="000F5697" w:rsidP="000F5697">
      <w:pPr>
        <w:pStyle w:val="Tekstpodstawowywcity"/>
        <w:ind w:firstLine="0"/>
        <w:rPr>
          <w:sz w:val="22"/>
          <w:szCs w:val="22"/>
        </w:rPr>
      </w:pPr>
    </w:p>
    <w:p w14:paraId="63DF7468" w14:textId="0E611E68" w:rsidR="009F656B" w:rsidRPr="003C6F28" w:rsidRDefault="00710913" w:rsidP="003C6F28">
      <w:pPr>
        <w:pStyle w:val="Tekstpodstawowywcity"/>
        <w:ind w:firstLine="0"/>
        <w:rPr>
          <w:sz w:val="22"/>
          <w:szCs w:val="22"/>
        </w:rPr>
      </w:pPr>
      <w:r w:rsidRPr="003C6F28">
        <w:rPr>
          <w:sz w:val="22"/>
          <w:szCs w:val="22"/>
        </w:rPr>
        <w:t xml:space="preserve">In PWR reactors, the key component in nuclear fuel is the fissile isotope U-235. </w:t>
      </w:r>
      <w:r w:rsidR="00E92034" w:rsidRPr="003C6F28">
        <w:rPr>
          <w:sz w:val="22"/>
          <w:szCs w:val="22"/>
        </w:rPr>
        <w:t>Fission products are generated a</w:t>
      </w:r>
      <w:r w:rsidRPr="003C6F28">
        <w:rPr>
          <w:sz w:val="22"/>
          <w:szCs w:val="22"/>
        </w:rPr>
        <w:t xml:space="preserve">s a consequence of </w:t>
      </w:r>
      <w:r w:rsidR="008F4BE8" w:rsidRPr="003C6F28">
        <w:rPr>
          <w:sz w:val="22"/>
          <w:szCs w:val="22"/>
        </w:rPr>
        <w:t xml:space="preserve">U-235 </w:t>
      </w:r>
      <w:r w:rsidRPr="003C6F28">
        <w:rPr>
          <w:sz w:val="22"/>
          <w:szCs w:val="22"/>
        </w:rPr>
        <w:t xml:space="preserve">fission by neutrons. The subsequent evolution of the generated </w:t>
      </w:r>
      <w:r w:rsidR="00DD0B70" w:rsidRPr="003C6F28">
        <w:rPr>
          <w:sz w:val="22"/>
          <w:szCs w:val="22"/>
        </w:rPr>
        <w:t xml:space="preserve">fission </w:t>
      </w:r>
      <w:r w:rsidRPr="003C6F28">
        <w:rPr>
          <w:sz w:val="22"/>
          <w:szCs w:val="22"/>
        </w:rPr>
        <w:t>products is</w:t>
      </w:r>
      <w:r w:rsidR="00524F31" w:rsidRPr="003C6F28">
        <w:rPr>
          <w:sz w:val="22"/>
          <w:szCs w:val="22"/>
        </w:rPr>
        <w:t> </w:t>
      </w:r>
      <w:r w:rsidRPr="003C6F28">
        <w:rPr>
          <w:sz w:val="22"/>
          <w:szCs w:val="22"/>
        </w:rPr>
        <w:t xml:space="preserve">determined by the total mass of </w:t>
      </w:r>
      <w:r w:rsidR="002E5CF0">
        <w:rPr>
          <w:sz w:val="22"/>
          <w:szCs w:val="22"/>
        </w:rPr>
        <w:t>uranium</w:t>
      </w:r>
      <w:r w:rsidRPr="003C6F28">
        <w:rPr>
          <w:sz w:val="22"/>
          <w:szCs w:val="22"/>
        </w:rPr>
        <w:t xml:space="preserve">, which is changing </w:t>
      </w:r>
      <w:r w:rsidR="00E92034" w:rsidRPr="003C6F28">
        <w:rPr>
          <w:sz w:val="22"/>
          <w:szCs w:val="22"/>
        </w:rPr>
        <w:t xml:space="preserve">in time </w:t>
      </w:r>
      <w:r w:rsidRPr="003C6F28">
        <w:rPr>
          <w:sz w:val="22"/>
          <w:szCs w:val="22"/>
        </w:rPr>
        <w:t>with its burnup. Figure 6 shows the mass change of the uranium isotopes U-235 and U-236 as a function of time. At the beginning of the fuel cycle, regardless</w:t>
      </w:r>
      <w:r w:rsidR="00524F31" w:rsidRPr="003C6F28">
        <w:rPr>
          <w:sz w:val="22"/>
          <w:szCs w:val="22"/>
        </w:rPr>
        <w:t xml:space="preserve"> </w:t>
      </w:r>
      <w:r w:rsidRPr="003C6F28">
        <w:rPr>
          <w:sz w:val="22"/>
          <w:szCs w:val="22"/>
        </w:rPr>
        <w:t>of the WBA or BA simulation</w:t>
      </w:r>
      <w:r w:rsidR="007342B2" w:rsidRPr="003C6F28">
        <w:rPr>
          <w:sz w:val="22"/>
          <w:szCs w:val="22"/>
        </w:rPr>
        <w:t>s</w:t>
      </w:r>
      <w:r w:rsidRPr="003C6F28">
        <w:rPr>
          <w:sz w:val="22"/>
          <w:szCs w:val="22"/>
        </w:rPr>
        <w:t xml:space="preserve">, the mass of U-235 was </w:t>
      </w:r>
      <w:r w:rsidR="00E92034" w:rsidRPr="003C6F28">
        <w:rPr>
          <w:sz w:val="22"/>
          <w:szCs w:val="22"/>
        </w:rPr>
        <w:t xml:space="preserve">set to </w:t>
      </w:r>
      <w:r w:rsidRPr="003C6F28">
        <w:rPr>
          <w:sz w:val="22"/>
          <w:szCs w:val="22"/>
        </w:rPr>
        <w:t>3146 kg. In the WBA case, the final mass of the U-235 was 576 kg, while for the BA</w:t>
      </w:r>
      <w:r w:rsidR="000C5C2E" w:rsidRPr="003C6F28">
        <w:rPr>
          <w:sz w:val="22"/>
          <w:szCs w:val="22"/>
        </w:rPr>
        <w:t xml:space="preserve"> </w:t>
      </w:r>
      <w:r w:rsidRPr="003C6F28">
        <w:rPr>
          <w:sz w:val="22"/>
          <w:szCs w:val="22"/>
        </w:rPr>
        <w:t>simulation it reached 681 kg</w:t>
      </w:r>
      <w:r w:rsidR="00DD0B70" w:rsidRPr="003C6F28">
        <w:rPr>
          <w:sz w:val="22"/>
          <w:szCs w:val="22"/>
        </w:rPr>
        <w:t>. Thus, t</w:t>
      </w:r>
      <w:r w:rsidRPr="003C6F28">
        <w:rPr>
          <w:sz w:val="22"/>
          <w:szCs w:val="22"/>
        </w:rPr>
        <w:t>he total consumption of U-235 for WBA was 2570 kg, and</w:t>
      </w:r>
      <w:r w:rsidR="00524F31" w:rsidRPr="003C6F28">
        <w:rPr>
          <w:sz w:val="22"/>
          <w:szCs w:val="22"/>
        </w:rPr>
        <w:t> </w:t>
      </w:r>
      <w:r w:rsidRPr="003C6F28">
        <w:rPr>
          <w:sz w:val="22"/>
          <w:szCs w:val="22"/>
        </w:rPr>
        <w:t xml:space="preserve">for the BA simulation was 2465 kg. </w:t>
      </w:r>
    </w:p>
    <w:p w14:paraId="6255C6D2" w14:textId="47644D2C" w:rsidR="000F5697" w:rsidRPr="003C6F28" w:rsidRDefault="009F656B" w:rsidP="009F656B">
      <w:pPr>
        <w:pStyle w:val="Tekstpodstawowywcity"/>
        <w:rPr>
          <w:sz w:val="22"/>
          <w:szCs w:val="22"/>
        </w:rPr>
      </w:pPr>
      <w:r w:rsidRPr="003C6F28">
        <w:rPr>
          <w:sz w:val="22"/>
          <w:szCs w:val="22"/>
        </w:rPr>
        <w:t xml:space="preserve">The addition of neutron absorbers effectively reduced the number of fission reactions. </w:t>
      </w:r>
      <w:r w:rsidR="00710913" w:rsidRPr="003C6F28">
        <w:rPr>
          <w:sz w:val="22"/>
          <w:szCs w:val="22"/>
        </w:rPr>
        <w:t>This is caused by the absorption of thermal neutrons by H</w:t>
      </w:r>
      <w:r w:rsidR="00710913" w:rsidRPr="003C6F28">
        <w:rPr>
          <w:sz w:val="22"/>
          <w:szCs w:val="22"/>
          <w:vertAlign w:val="subscript"/>
        </w:rPr>
        <w:t>3</w:t>
      </w:r>
      <w:r w:rsidR="00710913" w:rsidRPr="003C6F28">
        <w:rPr>
          <w:sz w:val="22"/>
          <w:szCs w:val="22"/>
        </w:rPr>
        <w:t>BO</w:t>
      </w:r>
      <w:r w:rsidR="00710913" w:rsidRPr="003C6F28">
        <w:rPr>
          <w:sz w:val="22"/>
          <w:szCs w:val="22"/>
          <w:vertAlign w:val="subscript"/>
        </w:rPr>
        <w:t>3</w:t>
      </w:r>
      <w:r w:rsidR="00710913" w:rsidRPr="003C6F28">
        <w:rPr>
          <w:sz w:val="22"/>
          <w:szCs w:val="22"/>
        </w:rPr>
        <w:t>. The neutron flux density in the thermal energy spectrum is reduced, resulting in a lower probability of</w:t>
      </w:r>
      <w:r w:rsidR="00DB4B91" w:rsidRPr="003C6F28">
        <w:rPr>
          <w:sz w:val="22"/>
          <w:szCs w:val="22"/>
        </w:rPr>
        <w:t> </w:t>
      </w:r>
      <w:r w:rsidR="00710913" w:rsidRPr="003C6F28">
        <w:rPr>
          <w:sz w:val="22"/>
          <w:szCs w:val="22"/>
        </w:rPr>
        <w:t>a U-235 fission event.</w:t>
      </w:r>
    </w:p>
    <w:p w14:paraId="5489F95F" w14:textId="77777777" w:rsidR="000F5697" w:rsidRPr="003C6F28" w:rsidRDefault="000F5697" w:rsidP="000F5697">
      <w:pPr>
        <w:pStyle w:val="Tekstpodstawowywcity"/>
        <w:ind w:firstLine="0"/>
        <w:rPr>
          <w:sz w:val="22"/>
          <w:szCs w:val="22"/>
        </w:rPr>
      </w:pPr>
    </w:p>
    <w:p w14:paraId="7C92B68C" w14:textId="3691A8D3" w:rsidR="000F5697" w:rsidRPr="003C6F28" w:rsidRDefault="00603B4C" w:rsidP="000F5697">
      <w:pPr>
        <w:pStyle w:val="Tekstpodstawowywcity"/>
        <w:ind w:firstLine="0"/>
        <w:rPr>
          <w:sz w:val="22"/>
          <w:szCs w:val="22"/>
        </w:rPr>
      </w:pPr>
      <w:r w:rsidRPr="003C6F28">
        <w:rPr>
          <w:noProof/>
        </w:rPr>
        <w:drawing>
          <wp:inline distT="0" distB="0" distL="0" distR="0" wp14:anchorId="0D067C4C" wp14:editId="4CDB3AB0">
            <wp:extent cx="2713990" cy="1437005"/>
            <wp:effectExtent l="0" t="0" r="0" b="0"/>
            <wp:docPr id="1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9"/>
                    <pic:cNvPicPr>
                      <a:picLocks noChangeAspect="1" noChangeArrowheads="1"/>
                    </pic:cNvPicPr>
                  </pic:nvPicPr>
                  <pic:blipFill>
                    <a:blip r:embed="rId20"/>
                    <a:stretch>
                      <a:fillRect/>
                    </a:stretch>
                  </pic:blipFill>
                  <pic:spPr bwMode="auto">
                    <a:xfrm>
                      <a:off x="0" y="0"/>
                      <a:ext cx="2713990" cy="1437005"/>
                    </a:xfrm>
                    <a:prstGeom prst="rect">
                      <a:avLst/>
                    </a:prstGeom>
                  </pic:spPr>
                </pic:pic>
              </a:graphicData>
            </a:graphic>
          </wp:inline>
        </w:drawing>
      </w:r>
    </w:p>
    <w:p w14:paraId="6902061C" w14:textId="4DBB9C57" w:rsidR="000F5697" w:rsidRPr="003C6F28" w:rsidRDefault="00603B4C" w:rsidP="000F5697">
      <w:pPr>
        <w:pStyle w:val="Tekstpodstawowywcity"/>
        <w:ind w:firstLine="0"/>
        <w:rPr>
          <w:i/>
          <w:iCs/>
        </w:rPr>
      </w:pPr>
      <w:r w:rsidRPr="003C6F28">
        <w:rPr>
          <w:i/>
          <w:iCs/>
        </w:rPr>
        <w:t>Fig. 8. U-235 decay chain based on [3].</w:t>
      </w:r>
    </w:p>
    <w:p w14:paraId="65FF54BF" w14:textId="77777777" w:rsidR="000F5697" w:rsidRPr="003C6F28" w:rsidRDefault="000F5697" w:rsidP="000F5697">
      <w:pPr>
        <w:pStyle w:val="Tekstpodstawowywcity"/>
        <w:ind w:firstLine="0"/>
        <w:rPr>
          <w:sz w:val="22"/>
          <w:szCs w:val="22"/>
        </w:rPr>
      </w:pPr>
    </w:p>
    <w:p w14:paraId="35EC6DCA" w14:textId="13AD7B32" w:rsidR="00361645" w:rsidRPr="003C6F28" w:rsidRDefault="001D050A" w:rsidP="003C6F28">
      <w:pPr>
        <w:pStyle w:val="Tekstpodstawowywcity"/>
        <w:ind w:firstLine="0"/>
        <w:rPr>
          <w:sz w:val="22"/>
          <w:szCs w:val="22"/>
        </w:rPr>
      </w:pPr>
      <w:r w:rsidRPr="003C6F28">
        <w:rPr>
          <w:sz w:val="22"/>
          <w:szCs w:val="22"/>
        </w:rPr>
        <w:t>Simultaneously</w:t>
      </w:r>
      <w:r w:rsidR="00F84D3D" w:rsidRPr="003C6F28">
        <w:rPr>
          <w:sz w:val="22"/>
          <w:szCs w:val="22"/>
        </w:rPr>
        <w:t xml:space="preserve"> </w:t>
      </w:r>
      <w:r w:rsidRPr="003C6F28">
        <w:rPr>
          <w:sz w:val="22"/>
          <w:szCs w:val="22"/>
        </w:rPr>
        <w:t xml:space="preserve">with the U-235 burnup, </w:t>
      </w:r>
      <w:r w:rsidR="006452ED">
        <w:rPr>
          <w:sz w:val="22"/>
          <w:szCs w:val="22"/>
        </w:rPr>
        <w:br/>
      </w:r>
      <w:r w:rsidR="00E92034" w:rsidRPr="003C6F28">
        <w:rPr>
          <w:sz w:val="22"/>
          <w:szCs w:val="22"/>
        </w:rPr>
        <w:t>a corresponding</w:t>
      </w:r>
      <w:r w:rsidRPr="003C6F28">
        <w:rPr>
          <w:sz w:val="22"/>
          <w:szCs w:val="22"/>
        </w:rPr>
        <w:t xml:space="preserve"> increase in the mass of the U-236 can be observed. Generation of U-236 is </w:t>
      </w:r>
      <w:r w:rsidR="00DD0B70" w:rsidRPr="003C6F28">
        <w:rPr>
          <w:sz w:val="22"/>
          <w:szCs w:val="22"/>
        </w:rPr>
        <w:t xml:space="preserve">linked </w:t>
      </w:r>
      <w:r w:rsidRPr="003C6F28">
        <w:rPr>
          <w:sz w:val="22"/>
          <w:szCs w:val="22"/>
        </w:rPr>
        <w:t xml:space="preserve">to the </w:t>
      </w:r>
      <w:r w:rsidR="00DD0B70" w:rsidRPr="00630ABA">
        <w:rPr>
          <w:sz w:val="22"/>
          <w:szCs w:val="22"/>
        </w:rPr>
        <w:t xml:space="preserve">neutron </w:t>
      </w:r>
      <w:r w:rsidR="00C048FC">
        <w:rPr>
          <w:sz w:val="22"/>
          <w:szCs w:val="22"/>
        </w:rPr>
        <w:t>absorption</w:t>
      </w:r>
      <w:r w:rsidR="00C048FC" w:rsidRPr="003C6F28">
        <w:rPr>
          <w:sz w:val="22"/>
          <w:szCs w:val="22"/>
        </w:rPr>
        <w:t xml:space="preserve"> </w:t>
      </w:r>
      <w:r w:rsidRPr="003C6F28">
        <w:rPr>
          <w:sz w:val="22"/>
          <w:szCs w:val="22"/>
        </w:rPr>
        <w:t xml:space="preserve">(n, γ) by U-235. </w:t>
      </w:r>
      <w:r w:rsidR="00DD0B70" w:rsidRPr="003C6F28">
        <w:rPr>
          <w:sz w:val="22"/>
          <w:szCs w:val="22"/>
        </w:rPr>
        <w:t>The</w:t>
      </w:r>
      <w:r w:rsidRPr="003C6F28">
        <w:rPr>
          <w:sz w:val="22"/>
          <w:szCs w:val="22"/>
        </w:rPr>
        <w:t xml:space="preserve"> mass growth of U-236 </w:t>
      </w:r>
      <w:r w:rsidR="00DD0B70" w:rsidRPr="003C6F28">
        <w:rPr>
          <w:sz w:val="22"/>
          <w:szCs w:val="22"/>
        </w:rPr>
        <w:t xml:space="preserve">in the BA and WBA cases behaves identically, </w:t>
      </w:r>
      <w:r w:rsidRPr="003C6F28">
        <w:rPr>
          <w:sz w:val="22"/>
          <w:szCs w:val="22"/>
        </w:rPr>
        <w:t xml:space="preserve">and </w:t>
      </w:r>
      <w:r w:rsidR="00DD0B70" w:rsidRPr="003C6F28">
        <w:rPr>
          <w:sz w:val="22"/>
          <w:szCs w:val="22"/>
        </w:rPr>
        <w:t>the</w:t>
      </w:r>
      <w:r w:rsidRPr="003C6F28">
        <w:rPr>
          <w:sz w:val="22"/>
          <w:szCs w:val="22"/>
        </w:rPr>
        <w:t xml:space="preserve"> </w:t>
      </w:r>
      <w:r w:rsidR="00DD0B70" w:rsidRPr="003C6F28">
        <w:rPr>
          <w:sz w:val="22"/>
          <w:szCs w:val="22"/>
        </w:rPr>
        <w:t xml:space="preserve">trend </w:t>
      </w:r>
      <w:r w:rsidRPr="003C6F28">
        <w:rPr>
          <w:sz w:val="22"/>
          <w:szCs w:val="22"/>
        </w:rPr>
        <w:t>curve</w:t>
      </w:r>
      <w:r w:rsidR="00DD0B70" w:rsidRPr="003C6F28">
        <w:rPr>
          <w:sz w:val="22"/>
          <w:szCs w:val="22"/>
        </w:rPr>
        <w:t>s</w:t>
      </w:r>
      <w:r w:rsidRPr="003C6F28">
        <w:rPr>
          <w:sz w:val="22"/>
          <w:szCs w:val="22"/>
        </w:rPr>
        <w:t xml:space="preserve"> overlap. The amount of U-236 in burned fuel is in direct proportion to its level of burnup and</w:t>
      </w:r>
      <w:r w:rsidR="00E92034" w:rsidRPr="003C6F28">
        <w:rPr>
          <w:sz w:val="22"/>
          <w:szCs w:val="22"/>
        </w:rPr>
        <w:t xml:space="preserve"> </w:t>
      </w:r>
      <w:r w:rsidRPr="003C6F28">
        <w:rPr>
          <w:sz w:val="22"/>
          <w:szCs w:val="22"/>
        </w:rPr>
        <w:t>also depends on the initial enrichment</w:t>
      </w:r>
      <w:r w:rsidR="00503052">
        <w:rPr>
          <w:sz w:val="22"/>
          <w:szCs w:val="22"/>
        </w:rPr>
        <w:t xml:space="preserve"> </w:t>
      </w:r>
      <w:r w:rsidRPr="003C6F28">
        <w:rPr>
          <w:sz w:val="22"/>
          <w:szCs w:val="22"/>
        </w:rPr>
        <w:t>of</w:t>
      </w:r>
      <w:r w:rsidR="00503052">
        <w:rPr>
          <w:sz w:val="22"/>
          <w:szCs w:val="22"/>
        </w:rPr>
        <w:t xml:space="preserve"> </w:t>
      </w:r>
      <w:r w:rsidRPr="003C6F28">
        <w:rPr>
          <w:sz w:val="22"/>
          <w:szCs w:val="22"/>
        </w:rPr>
        <w:t>thU-235.</w:t>
      </w:r>
      <w:r w:rsidR="002E5767" w:rsidRPr="003C6F28">
        <w:rPr>
          <w:sz w:val="22"/>
          <w:szCs w:val="22"/>
        </w:rPr>
        <w:t xml:space="preserve"> </w:t>
      </w:r>
      <w:r w:rsidR="00DD0B70" w:rsidRPr="003C6F28">
        <w:rPr>
          <w:sz w:val="22"/>
          <w:szCs w:val="22"/>
        </w:rPr>
        <w:t>In both cases, t</w:t>
      </w:r>
      <w:r w:rsidRPr="003C6F28">
        <w:rPr>
          <w:sz w:val="22"/>
          <w:szCs w:val="22"/>
        </w:rPr>
        <w:t xml:space="preserve">he mass of the U-236 at the end of the simulation was 425 kg. This isotope </w:t>
      </w:r>
      <w:r w:rsidR="00DD0B70" w:rsidRPr="003C6F28">
        <w:rPr>
          <w:sz w:val="22"/>
          <w:szCs w:val="22"/>
        </w:rPr>
        <w:t xml:space="preserve">was </w:t>
      </w:r>
      <w:r w:rsidRPr="003C6F28">
        <w:rPr>
          <w:sz w:val="22"/>
          <w:szCs w:val="22"/>
        </w:rPr>
        <w:t>being considered primarily in terms of spent fuel management and the possibility of its further reprocessing because the half-life of U-236 stands at 23</w:t>
      </w:r>
      <w:r w:rsidR="00DA371B" w:rsidRPr="003C6F28">
        <w:rPr>
          <w:sz w:val="22"/>
          <w:szCs w:val="22"/>
        </w:rPr>
        <w:t>.</w:t>
      </w:r>
      <w:r w:rsidRPr="003C6F28">
        <w:rPr>
          <w:sz w:val="22"/>
          <w:szCs w:val="22"/>
        </w:rPr>
        <w:t>4</w:t>
      </w:r>
      <w:r w:rsidR="00DA371B" w:rsidRPr="003C6F28">
        <w:rPr>
          <w:sz w:val="22"/>
          <w:szCs w:val="22"/>
        </w:rPr>
        <w:t>2</w:t>
      </w:r>
      <w:r w:rsidRPr="003C6F28">
        <w:rPr>
          <w:sz w:val="22"/>
          <w:szCs w:val="22"/>
        </w:rPr>
        <w:t xml:space="preserve"> million years. </w:t>
      </w:r>
      <w:r w:rsidR="00984C0A" w:rsidRPr="003C6F28">
        <w:rPr>
          <w:sz w:val="22"/>
          <w:szCs w:val="22"/>
        </w:rPr>
        <w:t xml:space="preserve">The </w:t>
      </w:r>
      <w:r w:rsidR="001D1B61" w:rsidRPr="003C6F28">
        <w:rPr>
          <w:sz w:val="22"/>
          <w:szCs w:val="22"/>
        </w:rPr>
        <w:t xml:space="preserve">U-236 is neither </w:t>
      </w:r>
      <w:r w:rsidR="00FA34EF" w:rsidRPr="003C6F28">
        <w:rPr>
          <w:sz w:val="22"/>
          <w:szCs w:val="22"/>
        </w:rPr>
        <w:t>a fissile</w:t>
      </w:r>
      <w:r w:rsidR="005D2BF4" w:rsidRPr="003C6F28">
        <w:rPr>
          <w:sz w:val="22"/>
          <w:szCs w:val="22"/>
        </w:rPr>
        <w:t xml:space="preserve"> </w:t>
      </w:r>
      <w:r w:rsidR="00FA34EF" w:rsidRPr="003C6F28">
        <w:rPr>
          <w:sz w:val="22"/>
          <w:szCs w:val="22"/>
        </w:rPr>
        <w:t>nor a fe</w:t>
      </w:r>
      <w:r w:rsidR="00CF5135" w:rsidRPr="003C6F28">
        <w:rPr>
          <w:sz w:val="22"/>
          <w:szCs w:val="22"/>
        </w:rPr>
        <w:t>rtile</w:t>
      </w:r>
      <w:r w:rsidR="003242A6" w:rsidRPr="003C6F28">
        <w:rPr>
          <w:sz w:val="22"/>
          <w:szCs w:val="22"/>
        </w:rPr>
        <w:t xml:space="preserve"> isotope</w:t>
      </w:r>
      <w:r w:rsidR="00CF5135" w:rsidRPr="003C6F28">
        <w:rPr>
          <w:sz w:val="22"/>
          <w:szCs w:val="22"/>
        </w:rPr>
        <w:t xml:space="preserve">. </w:t>
      </w:r>
      <w:r w:rsidR="000A26CE" w:rsidRPr="003C6F28">
        <w:rPr>
          <w:sz w:val="22"/>
          <w:szCs w:val="22"/>
        </w:rPr>
        <w:t>Because U-236 is a neutron absorber, it</w:t>
      </w:r>
      <w:r w:rsidR="007342B2" w:rsidRPr="003C6F28">
        <w:rPr>
          <w:sz w:val="22"/>
          <w:szCs w:val="22"/>
        </w:rPr>
        <w:t xml:space="preserve"> </w:t>
      </w:r>
      <w:r w:rsidR="000A26CE" w:rsidRPr="003C6F28">
        <w:rPr>
          <w:sz w:val="22"/>
          <w:szCs w:val="22"/>
        </w:rPr>
        <w:t>must be taken into consideration during the use of reprocessed fuel</w:t>
      </w:r>
      <w:r w:rsidR="00724C6F" w:rsidRPr="003C6F28">
        <w:rPr>
          <w:sz w:val="22"/>
          <w:szCs w:val="22"/>
        </w:rPr>
        <w:t xml:space="preserve"> </w:t>
      </w:r>
      <w:r w:rsidR="000B3AF9" w:rsidRPr="003C6F28">
        <w:rPr>
          <w:sz w:val="22"/>
          <w:szCs w:val="22"/>
        </w:rPr>
        <w:t>[11]</w:t>
      </w:r>
      <w:r w:rsidR="00781E66" w:rsidRPr="003C6F28">
        <w:rPr>
          <w:sz w:val="22"/>
          <w:szCs w:val="22"/>
        </w:rPr>
        <w:t>.</w:t>
      </w:r>
    </w:p>
    <w:p w14:paraId="191BFA0C" w14:textId="77777777" w:rsidR="00B5244F" w:rsidRPr="003C6F28" w:rsidRDefault="00B5244F" w:rsidP="003A199D">
      <w:pPr>
        <w:pStyle w:val="Tekstpodstawowywcity"/>
        <w:ind w:firstLine="0"/>
        <w:rPr>
          <w:sz w:val="22"/>
          <w:szCs w:val="22"/>
        </w:rPr>
      </w:pPr>
    </w:p>
    <w:p w14:paraId="7D9D3056" w14:textId="77777777" w:rsidR="00B5244F" w:rsidRPr="003C6F28" w:rsidRDefault="00B5244F" w:rsidP="002A1713">
      <w:pPr>
        <w:pStyle w:val="Tekstpodstawowywcity"/>
        <w:rPr>
          <w:sz w:val="22"/>
          <w:szCs w:val="22"/>
        </w:rPr>
      </w:pPr>
    </w:p>
    <w:p w14:paraId="4A11B724" w14:textId="08EF6C99" w:rsidR="00B5244F" w:rsidRPr="003C6F28" w:rsidRDefault="00B5244F" w:rsidP="002A1713">
      <w:pPr>
        <w:pStyle w:val="Tekstpodstawowywcity"/>
        <w:rPr>
          <w:sz w:val="22"/>
          <w:szCs w:val="22"/>
        </w:rPr>
      </w:pPr>
      <w:r w:rsidRPr="003C6F28">
        <w:rPr>
          <w:noProof/>
        </w:rPr>
        <w:drawing>
          <wp:inline distT="0" distB="0" distL="0" distR="0" wp14:anchorId="6425E3E0" wp14:editId="1CA3EE5B">
            <wp:extent cx="2809240" cy="1895475"/>
            <wp:effectExtent l="0" t="0" r="0" b="0"/>
            <wp:docPr id="1380261721" name="Obraz 138026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0"/>
                    <pic:cNvPicPr>
                      <a:picLocks noChangeAspect="1" noChangeArrowheads="1"/>
                    </pic:cNvPicPr>
                  </pic:nvPicPr>
                  <pic:blipFill>
                    <a:blip r:embed="rId21"/>
                    <a:srcRect l="1234"/>
                    <a:stretch>
                      <a:fillRect/>
                    </a:stretch>
                  </pic:blipFill>
                  <pic:spPr bwMode="auto">
                    <a:xfrm>
                      <a:off x="0" y="0"/>
                      <a:ext cx="2809240" cy="1895475"/>
                    </a:xfrm>
                    <a:prstGeom prst="rect">
                      <a:avLst/>
                    </a:prstGeom>
                  </pic:spPr>
                </pic:pic>
              </a:graphicData>
            </a:graphic>
          </wp:inline>
        </w:drawing>
      </w:r>
    </w:p>
    <w:p w14:paraId="1D6A394A" w14:textId="77777777" w:rsidR="00B5244F" w:rsidRPr="003C6F28" w:rsidRDefault="00B5244F" w:rsidP="00B5244F">
      <w:pPr>
        <w:pStyle w:val="Tekstpodstawowywcity"/>
        <w:ind w:firstLine="0"/>
        <w:rPr>
          <w:i/>
          <w:iCs/>
        </w:rPr>
      </w:pPr>
      <w:r w:rsidRPr="003C6F28">
        <w:rPr>
          <w:i/>
          <w:iCs/>
        </w:rPr>
        <w:t>Fig. 9. U-238 decay chain based on [3].</w:t>
      </w:r>
    </w:p>
    <w:p w14:paraId="49EC4A69" w14:textId="77777777" w:rsidR="00B5244F" w:rsidRPr="003C6F28" w:rsidRDefault="00B5244F" w:rsidP="00B86955">
      <w:pPr>
        <w:pStyle w:val="Tekstpodstawowywcity"/>
        <w:ind w:firstLine="0"/>
        <w:rPr>
          <w:sz w:val="22"/>
          <w:szCs w:val="22"/>
        </w:rPr>
      </w:pPr>
    </w:p>
    <w:p w14:paraId="7965D3B8" w14:textId="2D4E8611" w:rsidR="00C80E2E" w:rsidRPr="003C6F28" w:rsidRDefault="00B5244F" w:rsidP="00630ABA">
      <w:pPr>
        <w:pStyle w:val="Tekstpodstawowywcity"/>
        <w:ind w:firstLine="357"/>
        <w:rPr>
          <w:sz w:val="22"/>
          <w:szCs w:val="22"/>
        </w:rPr>
      </w:pPr>
      <w:r w:rsidRPr="003C6F28">
        <w:rPr>
          <w:sz w:val="22"/>
          <w:szCs w:val="22"/>
        </w:rPr>
        <w:t>Figure 7 shows the mass changes of the uranium U-238 as a function of time. A decreasing tendency can be observed for U-238 from 89.50 to 86.75 tons for WBA and to 86.47 tons for BA</w:t>
      </w:r>
      <w:r w:rsidR="00E92034" w:rsidRPr="003C6F28">
        <w:rPr>
          <w:sz w:val="22"/>
          <w:szCs w:val="22"/>
        </w:rPr>
        <w:t xml:space="preserve"> respectively</w:t>
      </w:r>
      <w:r w:rsidRPr="003C6F28">
        <w:rPr>
          <w:sz w:val="22"/>
          <w:szCs w:val="22"/>
        </w:rPr>
        <w:t>. The mass loss of</w:t>
      </w:r>
      <w:r w:rsidR="00A86773" w:rsidRPr="003C6F28">
        <w:rPr>
          <w:sz w:val="22"/>
          <w:szCs w:val="22"/>
        </w:rPr>
        <w:t> </w:t>
      </w:r>
      <w:r w:rsidRPr="003C6F28">
        <w:rPr>
          <w:sz w:val="22"/>
          <w:szCs w:val="22"/>
        </w:rPr>
        <w:t xml:space="preserve">U-238 is caused either by its transmutation to fissile isotopes of plutonium, such as Pu-239 and </w:t>
      </w:r>
      <w:r w:rsidR="007639DA">
        <w:rPr>
          <w:sz w:val="22"/>
          <w:szCs w:val="22"/>
        </w:rPr>
        <w:br/>
      </w:r>
      <w:r w:rsidRPr="003C6F28">
        <w:rPr>
          <w:sz w:val="22"/>
          <w:szCs w:val="22"/>
        </w:rPr>
        <w:t xml:space="preserve">Pu-241, </w:t>
      </w:r>
      <w:r w:rsidR="00E92034" w:rsidRPr="003C6F28">
        <w:rPr>
          <w:sz w:val="22"/>
          <w:szCs w:val="22"/>
        </w:rPr>
        <w:t>or by</w:t>
      </w:r>
      <w:r w:rsidRPr="003C6F28">
        <w:rPr>
          <w:sz w:val="22"/>
          <w:szCs w:val="22"/>
        </w:rPr>
        <w:t xml:space="preserve"> its splitting by fast neutrons. A quicker </w:t>
      </w:r>
      <w:r w:rsidRPr="003C6F28">
        <w:rPr>
          <w:sz w:val="22"/>
          <w:szCs w:val="22"/>
        </w:rPr>
        <w:lastRenderedPageBreak/>
        <w:t xml:space="preserve">mass drop of U-238 is observed for the </w:t>
      </w:r>
      <w:r w:rsidR="00E92034" w:rsidRPr="003C6F28">
        <w:rPr>
          <w:sz w:val="22"/>
          <w:szCs w:val="22"/>
        </w:rPr>
        <w:t xml:space="preserve">BA </w:t>
      </w:r>
      <w:r w:rsidRPr="003C6F28">
        <w:rPr>
          <w:sz w:val="22"/>
          <w:szCs w:val="22"/>
        </w:rPr>
        <w:t>case</w:t>
      </w:r>
      <w:r w:rsidR="00E92034" w:rsidRPr="003C6F28">
        <w:rPr>
          <w:sz w:val="22"/>
          <w:szCs w:val="22"/>
        </w:rPr>
        <w:t xml:space="preserve">s. </w:t>
      </w:r>
      <w:r w:rsidRPr="003C6F28">
        <w:rPr>
          <w:sz w:val="22"/>
          <w:szCs w:val="22"/>
        </w:rPr>
        <w:t>The probability of U-238</w:t>
      </w:r>
      <w:r w:rsidR="00E92034" w:rsidRPr="003C6F28">
        <w:rPr>
          <w:sz w:val="22"/>
          <w:szCs w:val="22"/>
        </w:rPr>
        <w:t xml:space="preserve"> fission</w:t>
      </w:r>
      <w:r w:rsidRPr="003C6F28">
        <w:rPr>
          <w:sz w:val="22"/>
          <w:szCs w:val="22"/>
        </w:rPr>
        <w:t xml:space="preserve"> is significantly higher when it absorbs fast neutrons. The use of H</w:t>
      </w:r>
      <w:r w:rsidRPr="003C6F28">
        <w:rPr>
          <w:sz w:val="22"/>
          <w:szCs w:val="22"/>
          <w:vertAlign w:val="subscript"/>
        </w:rPr>
        <w:t>3</w:t>
      </w:r>
      <w:r w:rsidRPr="003C6F28">
        <w:rPr>
          <w:sz w:val="22"/>
          <w:szCs w:val="22"/>
        </w:rPr>
        <w:t>BO</w:t>
      </w:r>
      <w:r w:rsidRPr="003C6F28">
        <w:rPr>
          <w:sz w:val="22"/>
          <w:szCs w:val="22"/>
          <w:vertAlign w:val="subscript"/>
        </w:rPr>
        <w:t>3</w:t>
      </w:r>
      <w:r w:rsidRPr="003C6F28">
        <w:rPr>
          <w:sz w:val="22"/>
          <w:szCs w:val="22"/>
        </w:rPr>
        <w:t xml:space="preserve"> reduces the neutron flux density at lower energies, which </w:t>
      </w:r>
      <w:r w:rsidR="00DD25B3" w:rsidRPr="003C6F28">
        <w:rPr>
          <w:sz w:val="22"/>
          <w:szCs w:val="22"/>
        </w:rPr>
        <w:t>corresponds</w:t>
      </w:r>
      <w:r w:rsidRPr="003C6F28">
        <w:rPr>
          <w:sz w:val="22"/>
          <w:szCs w:val="22"/>
        </w:rPr>
        <w:t xml:space="preserve"> to </w:t>
      </w:r>
      <w:r w:rsidR="00DD25B3" w:rsidRPr="003C6F28">
        <w:rPr>
          <w:sz w:val="22"/>
          <w:szCs w:val="22"/>
        </w:rPr>
        <w:t xml:space="preserve">a </w:t>
      </w:r>
      <w:r w:rsidRPr="003C6F28">
        <w:rPr>
          <w:sz w:val="22"/>
          <w:szCs w:val="22"/>
        </w:rPr>
        <w:t xml:space="preserve">higher </w:t>
      </w:r>
      <w:r w:rsidR="00DD25B3" w:rsidRPr="003C6F28">
        <w:rPr>
          <w:sz w:val="22"/>
          <w:szCs w:val="22"/>
        </w:rPr>
        <w:t>contribution</w:t>
      </w:r>
      <w:r w:rsidRPr="003C6F28">
        <w:rPr>
          <w:sz w:val="22"/>
          <w:szCs w:val="22"/>
        </w:rPr>
        <w:t xml:space="preserve"> of fast neutrons in the total balance. </w:t>
      </w:r>
    </w:p>
    <w:p w14:paraId="43219A2D" w14:textId="77777777" w:rsidR="000F5697" w:rsidRPr="003C6F28" w:rsidRDefault="000F5697" w:rsidP="000F5697">
      <w:pPr>
        <w:pStyle w:val="Tekstpodstawowywcity"/>
        <w:ind w:firstLine="0"/>
        <w:rPr>
          <w:sz w:val="22"/>
          <w:szCs w:val="22"/>
        </w:rPr>
      </w:pPr>
    </w:p>
    <w:p w14:paraId="43FE634D" w14:textId="2125EC85" w:rsidR="000F5697" w:rsidRPr="003C6F28" w:rsidRDefault="005B29A7" w:rsidP="001950F7">
      <w:pPr>
        <w:pStyle w:val="Tekstpodstawowywcity"/>
        <w:rPr>
          <w:b/>
          <w:bCs/>
          <w:i/>
          <w:iCs/>
          <w:sz w:val="22"/>
          <w:szCs w:val="22"/>
        </w:rPr>
      </w:pPr>
      <w:r w:rsidRPr="003C6F28">
        <w:rPr>
          <w:b/>
          <w:bCs/>
          <w:i/>
          <w:iCs/>
          <w:sz w:val="22"/>
          <w:szCs w:val="22"/>
        </w:rPr>
        <w:t>I</w:t>
      </w:r>
      <w:r w:rsidR="00CE3330" w:rsidRPr="003C6F28">
        <w:rPr>
          <w:b/>
          <w:bCs/>
          <w:i/>
          <w:iCs/>
          <w:sz w:val="22"/>
          <w:szCs w:val="22"/>
        </w:rPr>
        <w:t>V</w:t>
      </w:r>
      <w:r w:rsidRPr="003C6F28">
        <w:rPr>
          <w:b/>
          <w:bCs/>
          <w:i/>
          <w:iCs/>
          <w:sz w:val="22"/>
          <w:szCs w:val="22"/>
        </w:rPr>
        <w:t>.D. Plutonium Isotopes</w:t>
      </w:r>
    </w:p>
    <w:p w14:paraId="5D960EF2" w14:textId="77777777" w:rsidR="004B1E5D" w:rsidRPr="003C6F28" w:rsidRDefault="004B1E5D" w:rsidP="000F5697">
      <w:pPr>
        <w:pStyle w:val="Tekstpodstawowywcity"/>
        <w:ind w:firstLine="0"/>
        <w:rPr>
          <w:i/>
          <w:iCs/>
        </w:rPr>
      </w:pPr>
    </w:p>
    <w:p w14:paraId="7AC423CE" w14:textId="3D68A0BF" w:rsidR="004B1E5D" w:rsidRPr="003C6F28" w:rsidRDefault="001F3653" w:rsidP="000F5697">
      <w:pPr>
        <w:pStyle w:val="Tekstpodstawowywcity"/>
        <w:ind w:firstLine="0"/>
        <w:rPr>
          <w:i/>
          <w:iCs/>
        </w:rPr>
      </w:pPr>
      <w:r w:rsidRPr="003C6F28">
        <w:rPr>
          <w:noProof/>
        </w:rPr>
        <w:drawing>
          <wp:inline distT="0" distB="0" distL="0" distR="0" wp14:anchorId="70D552BC" wp14:editId="42D3DA1A">
            <wp:extent cx="3027680" cy="1711960"/>
            <wp:effectExtent l="0" t="0" r="0" b="0"/>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5"/>
                    <pic:cNvPicPr>
                      <a:picLocks noChangeAspect="1" noChangeArrowheads="1"/>
                    </pic:cNvPicPr>
                  </pic:nvPicPr>
                  <pic:blipFill>
                    <a:blip r:embed="rId22"/>
                    <a:stretch>
                      <a:fillRect/>
                    </a:stretch>
                  </pic:blipFill>
                  <pic:spPr bwMode="auto">
                    <a:xfrm>
                      <a:off x="0" y="0"/>
                      <a:ext cx="3027680" cy="1711960"/>
                    </a:xfrm>
                    <a:prstGeom prst="rect">
                      <a:avLst/>
                    </a:prstGeom>
                  </pic:spPr>
                </pic:pic>
              </a:graphicData>
            </a:graphic>
          </wp:inline>
        </w:drawing>
      </w:r>
    </w:p>
    <w:p w14:paraId="41EC1B05" w14:textId="7029A29A" w:rsidR="000C686B" w:rsidRPr="003C6F28" w:rsidRDefault="00283B9F" w:rsidP="00CF75AF">
      <w:pPr>
        <w:pStyle w:val="Tekstpodstawowywcity"/>
        <w:ind w:firstLine="0"/>
        <w:rPr>
          <w:i/>
          <w:iCs/>
        </w:rPr>
      </w:pPr>
      <w:r w:rsidRPr="003C6F28">
        <w:rPr>
          <w:i/>
          <w:iCs/>
        </w:rPr>
        <w:t>Fig. 10. Generation of plutonium isotopes as a function of time.</w:t>
      </w:r>
    </w:p>
    <w:p w14:paraId="7AA7199F" w14:textId="77777777" w:rsidR="00CF75AF" w:rsidRPr="003C6F28" w:rsidRDefault="00CF75AF" w:rsidP="00CF75AF">
      <w:pPr>
        <w:pStyle w:val="Tekstpodstawowywcity"/>
        <w:ind w:firstLine="0"/>
        <w:rPr>
          <w:i/>
          <w:iCs/>
        </w:rPr>
      </w:pPr>
    </w:p>
    <w:p w14:paraId="2A704E77" w14:textId="3F8063BB" w:rsidR="000C686B" w:rsidRPr="003C6F28" w:rsidRDefault="00CF75AF" w:rsidP="003C6F28">
      <w:pPr>
        <w:pStyle w:val="Tekstpodstawowywcity"/>
        <w:ind w:firstLine="0"/>
        <w:rPr>
          <w:sz w:val="22"/>
          <w:szCs w:val="22"/>
        </w:rPr>
      </w:pPr>
      <w:r w:rsidRPr="003C6F28">
        <w:rPr>
          <w:sz w:val="22"/>
          <w:szCs w:val="22"/>
        </w:rPr>
        <w:t xml:space="preserve">Figure 10 shows the generation of plutonium isotopes as a function of time. </w:t>
      </w:r>
      <w:r w:rsidR="00E92034" w:rsidRPr="003C6F28">
        <w:rPr>
          <w:sz w:val="22"/>
          <w:szCs w:val="22"/>
        </w:rPr>
        <w:t>To</w:t>
      </w:r>
      <w:r w:rsidRPr="003C6F28">
        <w:rPr>
          <w:sz w:val="22"/>
          <w:szCs w:val="22"/>
        </w:rPr>
        <w:t xml:space="preserve"> keep the figure clear, only Pu-239 and Pu-241 are shown for the BA case. The characteristics of the other isotopes overlapped for BA with WBA simulations. The</w:t>
      </w:r>
      <w:r w:rsidR="00F070B8" w:rsidRPr="003C6F28">
        <w:rPr>
          <w:sz w:val="22"/>
          <w:szCs w:val="22"/>
        </w:rPr>
        <w:t> </w:t>
      </w:r>
      <w:r w:rsidRPr="003C6F28">
        <w:rPr>
          <w:sz w:val="22"/>
          <w:szCs w:val="22"/>
        </w:rPr>
        <w:t xml:space="preserve">highest mass generation is observed for the Pu-239 isotope, which can participate in fission with both thermal and fast neutrons. For the WBA simulation, the final mass of Pu-239 was 557 kg, while for BA it was 655 kg. The higher generation </w:t>
      </w:r>
      <w:r w:rsidR="009E41E1" w:rsidRPr="003C6F28">
        <w:rPr>
          <w:sz w:val="22"/>
          <w:szCs w:val="22"/>
        </w:rPr>
        <w:t xml:space="preserve">in BA cases </w:t>
      </w:r>
      <w:r w:rsidRPr="003C6F28">
        <w:rPr>
          <w:sz w:val="22"/>
          <w:szCs w:val="22"/>
        </w:rPr>
        <w:t xml:space="preserve">is due to </w:t>
      </w:r>
      <w:r w:rsidR="009E41E1" w:rsidRPr="003C6F28">
        <w:rPr>
          <w:sz w:val="22"/>
          <w:szCs w:val="22"/>
        </w:rPr>
        <w:t>the changes</w:t>
      </w:r>
      <w:r w:rsidRPr="003C6F28">
        <w:rPr>
          <w:sz w:val="22"/>
          <w:szCs w:val="22"/>
        </w:rPr>
        <w:t xml:space="preserve"> in neutron flux, which lead to an increased probability of U-238 </w:t>
      </w:r>
      <w:r w:rsidR="007342B2" w:rsidRPr="003C6F28">
        <w:rPr>
          <w:sz w:val="22"/>
          <w:szCs w:val="22"/>
        </w:rPr>
        <w:t>absorption</w:t>
      </w:r>
      <w:r w:rsidRPr="003C6F28">
        <w:rPr>
          <w:sz w:val="22"/>
          <w:szCs w:val="22"/>
        </w:rPr>
        <w:t>, and its further transmutation to Pu-239. This actinide is the most important part of the fuel reproduction process because it can be extracted and reused. Due to the fact that it has a high cross</w:t>
      </w:r>
      <w:r w:rsidR="009E41E1" w:rsidRPr="003C6F28">
        <w:rPr>
          <w:sz w:val="22"/>
          <w:szCs w:val="22"/>
        </w:rPr>
        <w:t>-</w:t>
      </w:r>
      <w:r w:rsidRPr="003C6F28">
        <w:rPr>
          <w:sz w:val="22"/>
          <w:szCs w:val="22"/>
        </w:rPr>
        <w:t xml:space="preserve">section for fission by </w:t>
      </w:r>
      <w:r w:rsidR="009E41E1" w:rsidRPr="003C6F28">
        <w:rPr>
          <w:sz w:val="22"/>
          <w:szCs w:val="22"/>
        </w:rPr>
        <w:t>fast neutrons</w:t>
      </w:r>
      <w:r w:rsidRPr="003C6F28">
        <w:rPr>
          <w:sz w:val="22"/>
          <w:szCs w:val="22"/>
        </w:rPr>
        <w:t xml:space="preserve">, it is used in fast reactors or MOX fuel [2]. </w:t>
      </w:r>
      <w:r w:rsidR="009E41E1" w:rsidRPr="003C6F28">
        <w:rPr>
          <w:sz w:val="22"/>
          <w:szCs w:val="22"/>
        </w:rPr>
        <w:t>Moreover,</w:t>
      </w:r>
      <w:r w:rsidRPr="003C6F28">
        <w:rPr>
          <w:sz w:val="22"/>
          <w:szCs w:val="22"/>
        </w:rPr>
        <w:t xml:space="preserve"> it has a significant role at the end of the fuel </w:t>
      </w:r>
      <w:r w:rsidR="009E41E1" w:rsidRPr="003C6F28">
        <w:rPr>
          <w:sz w:val="22"/>
          <w:szCs w:val="22"/>
        </w:rPr>
        <w:t>cycle because</w:t>
      </w:r>
      <w:r w:rsidRPr="003C6F28">
        <w:rPr>
          <w:sz w:val="22"/>
          <w:szCs w:val="22"/>
        </w:rPr>
        <w:t xml:space="preserve"> it generates heat in the reactor as a result of fission. Mass increases are also observed for the remaining plutonium isotopes. The production of Pu-240</w:t>
      </w:r>
      <w:r w:rsidR="009E41E1" w:rsidRPr="003C6F28">
        <w:rPr>
          <w:sz w:val="22"/>
          <w:szCs w:val="22"/>
        </w:rPr>
        <w:t xml:space="preserve"> by the transmutation of Pu-239</w:t>
      </w:r>
      <w:r w:rsidRPr="003C6F28">
        <w:rPr>
          <w:sz w:val="22"/>
          <w:szCs w:val="22"/>
        </w:rPr>
        <w:t xml:space="preserve"> was 200 kg at the end of the fuel cycle. Neutron </w:t>
      </w:r>
      <w:r w:rsidRPr="00163C80">
        <w:rPr>
          <w:sz w:val="22"/>
          <w:szCs w:val="22"/>
        </w:rPr>
        <w:t>capture</w:t>
      </w:r>
      <w:r w:rsidRPr="003C6F28">
        <w:rPr>
          <w:sz w:val="22"/>
          <w:szCs w:val="22"/>
        </w:rPr>
        <w:t xml:space="preserve"> by Pu-240 results in the production of Pu-241</w:t>
      </w:r>
      <w:r w:rsidR="009E41E1" w:rsidRPr="003C6F28">
        <w:rPr>
          <w:sz w:val="22"/>
          <w:szCs w:val="22"/>
        </w:rPr>
        <w:t xml:space="preserve"> fissile</w:t>
      </w:r>
      <w:r w:rsidRPr="003C6F28">
        <w:rPr>
          <w:sz w:val="22"/>
          <w:szCs w:val="22"/>
        </w:rPr>
        <w:t>. The production of fissile isotopes is also associated with changes in neutron fluence.</w:t>
      </w:r>
    </w:p>
    <w:p w14:paraId="667D8793" w14:textId="77777777" w:rsidR="007A0B6D" w:rsidRPr="003C6F28" w:rsidRDefault="007A0B6D" w:rsidP="000C686B">
      <w:pPr>
        <w:pStyle w:val="Tekstpodstawowywcity"/>
        <w:rPr>
          <w:sz w:val="22"/>
          <w:szCs w:val="22"/>
        </w:rPr>
      </w:pPr>
    </w:p>
    <w:p w14:paraId="02DF4EBC" w14:textId="77777777" w:rsidR="000F5697" w:rsidRDefault="000F5697" w:rsidP="000F5697">
      <w:pPr>
        <w:pStyle w:val="Tekstpodstawowywcity"/>
        <w:ind w:firstLine="0"/>
        <w:rPr>
          <w:sz w:val="22"/>
          <w:szCs w:val="22"/>
        </w:rPr>
      </w:pPr>
    </w:p>
    <w:p w14:paraId="2352B67F" w14:textId="77777777" w:rsidR="0037455F" w:rsidRPr="003C6F28" w:rsidRDefault="0037455F" w:rsidP="000F5697">
      <w:pPr>
        <w:pStyle w:val="Tekstpodstawowywcity"/>
        <w:ind w:firstLine="0"/>
        <w:rPr>
          <w:sz w:val="22"/>
          <w:szCs w:val="22"/>
        </w:rPr>
      </w:pPr>
    </w:p>
    <w:p w14:paraId="593E87A8" w14:textId="40E531A6" w:rsidR="000F5697" w:rsidRPr="003C6F28" w:rsidRDefault="00ED68E0" w:rsidP="001C5342">
      <w:pPr>
        <w:pStyle w:val="Tekstpodstawowywcity"/>
        <w:rPr>
          <w:b/>
          <w:bCs/>
          <w:i/>
          <w:iCs/>
          <w:sz w:val="22"/>
          <w:szCs w:val="22"/>
        </w:rPr>
      </w:pPr>
      <w:r w:rsidRPr="003C6F28">
        <w:rPr>
          <w:b/>
          <w:bCs/>
          <w:i/>
          <w:iCs/>
          <w:sz w:val="22"/>
          <w:szCs w:val="22"/>
        </w:rPr>
        <w:t>IV.E. Xenon and Samarium Isotopes</w:t>
      </w:r>
    </w:p>
    <w:p w14:paraId="3A20857A" w14:textId="77777777" w:rsidR="00CC448E" w:rsidRPr="003C6F28" w:rsidRDefault="00CC448E" w:rsidP="000F5697">
      <w:pPr>
        <w:pStyle w:val="Tekstpodstawowywcity"/>
        <w:ind w:firstLine="0"/>
        <w:rPr>
          <w:sz w:val="22"/>
          <w:szCs w:val="22"/>
        </w:rPr>
      </w:pPr>
    </w:p>
    <w:p w14:paraId="3E5E3C46" w14:textId="71EE04B3" w:rsidR="008A2D5A" w:rsidRPr="003C6F28" w:rsidRDefault="00DA634A" w:rsidP="00B311E0">
      <w:pPr>
        <w:pStyle w:val="Tekstpodstawowywcity"/>
        <w:ind w:firstLine="0"/>
        <w:rPr>
          <w:sz w:val="22"/>
          <w:szCs w:val="22"/>
        </w:rPr>
      </w:pPr>
      <w:r w:rsidRPr="003C6F28">
        <w:rPr>
          <w:noProof/>
        </w:rPr>
        <w:drawing>
          <wp:inline distT="0" distB="0" distL="0" distR="0" wp14:anchorId="66F3EAF0" wp14:editId="3688E011">
            <wp:extent cx="3016885" cy="1658620"/>
            <wp:effectExtent l="0" t="0" r="0" b="0"/>
            <wp:docPr id="784535862" name="Obraz 784535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9"/>
                    <pic:cNvPicPr>
                      <a:picLocks noChangeAspect="1" noChangeArrowheads="1"/>
                    </pic:cNvPicPr>
                  </pic:nvPicPr>
                  <pic:blipFill>
                    <a:blip r:embed="rId23"/>
                    <a:stretch>
                      <a:fillRect/>
                    </a:stretch>
                  </pic:blipFill>
                  <pic:spPr bwMode="auto">
                    <a:xfrm>
                      <a:off x="0" y="0"/>
                      <a:ext cx="3016885" cy="1658620"/>
                    </a:xfrm>
                    <a:prstGeom prst="rect">
                      <a:avLst/>
                    </a:prstGeom>
                  </pic:spPr>
                </pic:pic>
              </a:graphicData>
            </a:graphic>
          </wp:inline>
        </w:drawing>
      </w:r>
    </w:p>
    <w:p w14:paraId="1F312D92" w14:textId="77777777" w:rsidR="00DA634A" w:rsidRPr="003C6F28" w:rsidRDefault="00DA634A" w:rsidP="00DA634A">
      <w:pPr>
        <w:pStyle w:val="Tekstpodstawowywcity"/>
        <w:ind w:firstLine="0"/>
        <w:rPr>
          <w:i/>
          <w:iCs/>
        </w:rPr>
      </w:pPr>
      <w:r w:rsidRPr="003C6F28">
        <w:rPr>
          <w:i/>
          <w:iCs/>
        </w:rPr>
        <w:t>Fig. 11. Generation of Xenon and Samarium isotopes as a function of time.</w:t>
      </w:r>
    </w:p>
    <w:p w14:paraId="6A2071DD" w14:textId="77777777" w:rsidR="008A2D5A" w:rsidRPr="003C6F28" w:rsidRDefault="008A2D5A" w:rsidP="00DA634A">
      <w:pPr>
        <w:pStyle w:val="Tekstpodstawowywcity"/>
        <w:ind w:firstLine="0"/>
        <w:rPr>
          <w:sz w:val="22"/>
          <w:szCs w:val="22"/>
        </w:rPr>
      </w:pPr>
    </w:p>
    <w:p w14:paraId="2A1AF629" w14:textId="1F6F0199" w:rsidR="005206C4" w:rsidRPr="003C6F28" w:rsidRDefault="0006365D" w:rsidP="003C6F28">
      <w:pPr>
        <w:pStyle w:val="Tekstkomentarza"/>
      </w:pPr>
      <w:r w:rsidRPr="003C6F28">
        <w:rPr>
          <w:sz w:val="22"/>
          <w:szCs w:val="22"/>
        </w:rPr>
        <w:t xml:space="preserve">Xe-135 and Sm-149 are considered reactor poisons. They are generated as a result of the fuel burnup. </w:t>
      </w:r>
      <w:r w:rsidR="007B3D5E" w:rsidRPr="003C6F28">
        <w:rPr>
          <w:sz w:val="22"/>
          <w:szCs w:val="22"/>
        </w:rPr>
        <w:t xml:space="preserve">In addition, their concentration can be affected </w:t>
      </w:r>
      <w:r w:rsidR="00DD25B3" w:rsidRPr="003C6F28">
        <w:rPr>
          <w:sz w:val="22"/>
          <w:szCs w:val="22"/>
        </w:rPr>
        <w:t>by</w:t>
      </w:r>
      <w:r w:rsidR="007B3D5E" w:rsidRPr="003C6F28">
        <w:rPr>
          <w:sz w:val="22"/>
          <w:szCs w:val="22"/>
        </w:rPr>
        <w:t xml:space="preserve"> changes in neutron flux related to changes in reactor’s power.</w:t>
      </w:r>
      <w:r w:rsidR="00783272" w:rsidRPr="003C6F28">
        <w:rPr>
          <w:sz w:val="22"/>
          <w:szCs w:val="22"/>
        </w:rPr>
        <w:t xml:space="preserve"> </w:t>
      </w:r>
      <w:r w:rsidRPr="003C6F28">
        <w:rPr>
          <w:sz w:val="22"/>
          <w:szCs w:val="22"/>
        </w:rPr>
        <w:t>Both reactor poisons have a</w:t>
      </w:r>
      <w:r w:rsidR="0049434E" w:rsidRPr="003C6F28">
        <w:rPr>
          <w:sz w:val="22"/>
          <w:szCs w:val="22"/>
        </w:rPr>
        <w:t> </w:t>
      </w:r>
      <w:r w:rsidRPr="003C6F28">
        <w:rPr>
          <w:sz w:val="22"/>
          <w:szCs w:val="22"/>
        </w:rPr>
        <w:t>significant effect on the thermal neutron utili</w:t>
      </w:r>
      <w:r w:rsidR="00C45C0D">
        <w:rPr>
          <w:sz w:val="22"/>
          <w:szCs w:val="22"/>
        </w:rPr>
        <w:t>z</w:t>
      </w:r>
      <w:r w:rsidRPr="003C6F28">
        <w:rPr>
          <w:sz w:val="22"/>
          <w:szCs w:val="22"/>
        </w:rPr>
        <w:t>ation factor,</w:t>
      </w:r>
      <w:r w:rsidR="009E41E1" w:rsidRPr="003C6F28">
        <w:rPr>
          <w:sz w:val="22"/>
          <w:szCs w:val="22"/>
        </w:rPr>
        <w:t xml:space="preserve"> and</w:t>
      </w:r>
      <w:r w:rsidRPr="003C6F28">
        <w:rPr>
          <w:sz w:val="22"/>
          <w:szCs w:val="22"/>
        </w:rPr>
        <w:t xml:space="preserve"> therefore on the changes in the neutron effective multiplication factor and reactivity. One example of a reactor's transient state could be its start</w:t>
      </w:r>
      <w:r w:rsidR="009E41E1" w:rsidRPr="003C6F28">
        <w:rPr>
          <w:sz w:val="22"/>
          <w:szCs w:val="22"/>
        </w:rPr>
        <w:t>-</w:t>
      </w:r>
      <w:r w:rsidRPr="003C6F28">
        <w:rPr>
          <w:sz w:val="22"/>
          <w:szCs w:val="22"/>
        </w:rPr>
        <w:t>up at t</w:t>
      </w:r>
      <w:r w:rsidRPr="003C6F28">
        <w:rPr>
          <w:sz w:val="22"/>
          <w:szCs w:val="22"/>
          <w:vertAlign w:val="subscript"/>
        </w:rPr>
        <w:t>0</w:t>
      </w:r>
      <w:r w:rsidRPr="003C6F28">
        <w:rPr>
          <w:sz w:val="22"/>
          <w:szCs w:val="22"/>
        </w:rPr>
        <w:t xml:space="preserve"> to nominal power. Figure 11 shows the generation of</w:t>
      </w:r>
      <w:r w:rsidR="00A266AB" w:rsidRPr="003C6F28">
        <w:rPr>
          <w:sz w:val="22"/>
          <w:szCs w:val="22"/>
        </w:rPr>
        <w:t> </w:t>
      </w:r>
      <w:r w:rsidRPr="003C6F28">
        <w:rPr>
          <w:sz w:val="22"/>
          <w:szCs w:val="22"/>
        </w:rPr>
        <w:t>reactor poisons. In a very short time after start</w:t>
      </w:r>
      <w:r w:rsidR="009E41E1" w:rsidRPr="003C6F28">
        <w:rPr>
          <w:sz w:val="22"/>
          <w:szCs w:val="22"/>
        </w:rPr>
        <w:t>-</w:t>
      </w:r>
      <w:r w:rsidRPr="003C6F28">
        <w:rPr>
          <w:sz w:val="22"/>
          <w:szCs w:val="22"/>
        </w:rPr>
        <w:t>up, the generation of Xe-135 and Sm-149 increases significantly, which affects the</w:t>
      </w:r>
      <w:r w:rsidR="00B65CE5" w:rsidRPr="003C6F28">
        <w:rPr>
          <w:sz w:val="22"/>
          <w:szCs w:val="22"/>
        </w:rPr>
        <w:t xml:space="preserve"> quick</w:t>
      </w:r>
      <w:r w:rsidRPr="003C6F28">
        <w:rPr>
          <w:sz w:val="22"/>
          <w:szCs w:val="22"/>
        </w:rPr>
        <w:t xml:space="preserve"> initial drop in reactivity </w:t>
      </w:r>
      <w:r w:rsidR="00FA49DD">
        <w:rPr>
          <w:sz w:val="22"/>
          <w:szCs w:val="22"/>
        </w:rPr>
        <w:t>excess</w:t>
      </w:r>
      <w:r w:rsidRPr="003C6F28">
        <w:rPr>
          <w:sz w:val="22"/>
          <w:szCs w:val="22"/>
        </w:rPr>
        <w:t xml:space="preserve">. </w:t>
      </w:r>
      <w:r w:rsidR="00C45C0D" w:rsidRPr="003C6F28">
        <w:rPr>
          <w:sz w:val="22"/>
          <w:szCs w:val="22"/>
        </w:rPr>
        <w:t>As can be observed, the reactor poison generation is greater i</w:t>
      </w:r>
      <w:r w:rsidRPr="003C6F28">
        <w:rPr>
          <w:sz w:val="22"/>
          <w:szCs w:val="22"/>
        </w:rPr>
        <w:t>n the BA simulation</w:t>
      </w:r>
      <w:r w:rsidR="00C45C0D" w:rsidRPr="003C6F28">
        <w:rPr>
          <w:sz w:val="22"/>
          <w:szCs w:val="22"/>
        </w:rPr>
        <w:t xml:space="preserve"> </w:t>
      </w:r>
      <w:r w:rsidRPr="003C6F28">
        <w:rPr>
          <w:sz w:val="22"/>
          <w:szCs w:val="22"/>
        </w:rPr>
        <w:t>than for the WBA</w:t>
      </w:r>
      <w:r w:rsidR="00C45C0D" w:rsidRPr="003C6F28">
        <w:rPr>
          <w:sz w:val="22"/>
          <w:szCs w:val="22"/>
        </w:rPr>
        <w:t xml:space="preserve"> case</w:t>
      </w:r>
      <w:r w:rsidRPr="003C6F28">
        <w:rPr>
          <w:sz w:val="22"/>
          <w:szCs w:val="22"/>
        </w:rPr>
        <w:t>. This is related to the use of the neutron-absorbing H</w:t>
      </w:r>
      <w:r w:rsidRPr="003C6F28">
        <w:rPr>
          <w:sz w:val="22"/>
          <w:szCs w:val="22"/>
          <w:vertAlign w:val="subscript"/>
        </w:rPr>
        <w:t>3</w:t>
      </w:r>
      <w:r w:rsidRPr="003C6F28">
        <w:rPr>
          <w:sz w:val="22"/>
          <w:szCs w:val="22"/>
        </w:rPr>
        <w:t>BO</w:t>
      </w:r>
      <w:r w:rsidRPr="003C6F28">
        <w:rPr>
          <w:sz w:val="22"/>
          <w:szCs w:val="22"/>
          <w:vertAlign w:val="subscript"/>
        </w:rPr>
        <w:t>3</w:t>
      </w:r>
      <w:r w:rsidRPr="003C6F28">
        <w:rPr>
          <w:sz w:val="22"/>
          <w:szCs w:val="22"/>
        </w:rPr>
        <w:t xml:space="preserve"> which affects the initial reactivity reserve and reactor power. Operating at</w:t>
      </w:r>
      <w:r w:rsidR="0008708F" w:rsidRPr="003C6F28">
        <w:rPr>
          <w:sz w:val="22"/>
          <w:szCs w:val="22"/>
        </w:rPr>
        <w:t> </w:t>
      </w:r>
      <w:r w:rsidRPr="003C6F28">
        <w:rPr>
          <w:sz w:val="22"/>
          <w:szCs w:val="22"/>
        </w:rPr>
        <w:t xml:space="preserve">reduced power results in slower removal of poisons from the core and </w:t>
      </w:r>
      <w:r w:rsidR="00B65CE5" w:rsidRPr="003C6F28">
        <w:rPr>
          <w:sz w:val="22"/>
          <w:szCs w:val="22"/>
        </w:rPr>
        <w:t xml:space="preserve">a </w:t>
      </w:r>
      <w:r w:rsidRPr="003C6F28">
        <w:rPr>
          <w:sz w:val="22"/>
          <w:szCs w:val="22"/>
        </w:rPr>
        <w:t>greater generation of  Xe-135 and Sm-149.</w:t>
      </w:r>
    </w:p>
    <w:p w14:paraId="13748261" w14:textId="77777777" w:rsidR="0020506B" w:rsidRPr="003C6F28" w:rsidRDefault="0020506B" w:rsidP="000F5697">
      <w:pPr>
        <w:pStyle w:val="Tekstpodstawowywcity"/>
        <w:ind w:firstLine="0"/>
        <w:rPr>
          <w:i/>
          <w:iCs/>
        </w:rPr>
      </w:pPr>
    </w:p>
    <w:p w14:paraId="47971A15" w14:textId="3B9864A0" w:rsidR="0020506B" w:rsidRPr="003C6F28" w:rsidRDefault="003E057A" w:rsidP="000F5697">
      <w:pPr>
        <w:pStyle w:val="Tekstpodstawowywcity"/>
        <w:ind w:firstLine="0"/>
        <w:rPr>
          <w:b/>
          <w:bCs/>
          <w:sz w:val="22"/>
          <w:szCs w:val="22"/>
        </w:rPr>
      </w:pPr>
      <w:r w:rsidRPr="003C6F28">
        <w:rPr>
          <w:b/>
          <w:bCs/>
          <w:sz w:val="22"/>
          <w:szCs w:val="22"/>
        </w:rPr>
        <w:t>V. Conclusions</w:t>
      </w:r>
    </w:p>
    <w:p w14:paraId="7B304828" w14:textId="77777777" w:rsidR="0020506B" w:rsidRPr="003C6F28" w:rsidRDefault="0020506B" w:rsidP="000F5697">
      <w:pPr>
        <w:pStyle w:val="Tekstpodstawowywcity"/>
        <w:ind w:firstLine="0"/>
      </w:pPr>
    </w:p>
    <w:p w14:paraId="13E24BE2" w14:textId="148D1C90" w:rsidR="00823A94" w:rsidRPr="003C6F28" w:rsidRDefault="00766957" w:rsidP="003C6F28">
      <w:pPr>
        <w:pStyle w:val="Tekstpodstawowywcity"/>
        <w:ind w:firstLine="0"/>
        <w:rPr>
          <w:sz w:val="22"/>
          <w:szCs w:val="22"/>
        </w:rPr>
      </w:pPr>
      <w:r w:rsidRPr="003C6F28">
        <w:rPr>
          <w:sz w:val="22"/>
          <w:szCs w:val="22"/>
        </w:rPr>
        <w:t xml:space="preserve">The paper describes development of the AP1000 reactor model in OpenMC and its application to fuel burnup calculations. To confirm the validity of the results, calculations were performed using 2 nuclear data libraries: ENDF/B-VII.1 and JEFF-3.3. The following configurations were used: </w:t>
      </w:r>
      <w:r w:rsidRPr="003C6F28">
        <w:rPr>
          <w:b/>
          <w:bCs/>
          <w:sz w:val="22"/>
          <w:szCs w:val="22"/>
        </w:rPr>
        <w:t>BA</w:t>
      </w:r>
      <w:r w:rsidR="009E41E1" w:rsidRPr="003C6F28">
        <w:rPr>
          <w:b/>
          <w:bCs/>
          <w:sz w:val="22"/>
          <w:szCs w:val="22"/>
        </w:rPr>
        <w:t xml:space="preserve"> </w:t>
      </w:r>
      <w:r w:rsidR="009E41E1" w:rsidRPr="003C6F28">
        <w:rPr>
          <w:sz w:val="22"/>
          <w:szCs w:val="22"/>
        </w:rPr>
        <w:t>– with boric</w:t>
      </w:r>
      <w:r w:rsidRPr="003C6F28">
        <w:rPr>
          <w:sz w:val="22"/>
          <w:szCs w:val="22"/>
        </w:rPr>
        <w:t xml:space="preserve"> </w:t>
      </w:r>
      <w:r w:rsidR="009E41E1" w:rsidRPr="003C6F28">
        <w:rPr>
          <w:sz w:val="22"/>
          <w:szCs w:val="22"/>
        </w:rPr>
        <w:t>cases</w:t>
      </w:r>
      <w:r w:rsidRPr="003C6F28">
        <w:rPr>
          <w:sz w:val="22"/>
          <w:szCs w:val="22"/>
        </w:rPr>
        <w:t xml:space="preserve"> acid in the coolant and </w:t>
      </w:r>
      <w:r w:rsidRPr="003C6F28">
        <w:rPr>
          <w:b/>
          <w:bCs/>
          <w:sz w:val="22"/>
          <w:szCs w:val="22"/>
        </w:rPr>
        <w:t>WBA</w:t>
      </w:r>
      <w:r w:rsidR="009E41E1" w:rsidRPr="003C6F28">
        <w:rPr>
          <w:sz w:val="22"/>
          <w:szCs w:val="22"/>
        </w:rPr>
        <w:t xml:space="preserve"> </w:t>
      </w:r>
      <w:r w:rsidRPr="003C6F28">
        <w:rPr>
          <w:sz w:val="22"/>
          <w:szCs w:val="22"/>
        </w:rPr>
        <w:t>-</w:t>
      </w:r>
      <w:r w:rsidR="00280A98" w:rsidRPr="003C6F28">
        <w:rPr>
          <w:sz w:val="22"/>
          <w:szCs w:val="22"/>
        </w:rPr>
        <w:t> </w:t>
      </w:r>
      <w:r w:rsidRPr="003C6F28">
        <w:rPr>
          <w:sz w:val="22"/>
          <w:szCs w:val="22"/>
        </w:rPr>
        <w:t xml:space="preserve">without boric acid. </w:t>
      </w:r>
      <w:r w:rsidR="005E43FA" w:rsidRPr="003C6F28">
        <w:rPr>
          <w:sz w:val="22"/>
          <w:szCs w:val="22"/>
        </w:rPr>
        <w:t>The ENDF/B-VII.1 library was chosen as the reference library because of its general comparability. This library has been used in a wide range</w:t>
      </w:r>
      <w:r w:rsidR="005C7840" w:rsidRPr="003C6F28">
        <w:rPr>
          <w:sz w:val="22"/>
          <w:szCs w:val="22"/>
        </w:rPr>
        <w:t xml:space="preserve"> </w:t>
      </w:r>
      <w:r w:rsidR="005E43FA" w:rsidRPr="003C6F28">
        <w:rPr>
          <w:sz w:val="22"/>
          <w:szCs w:val="22"/>
        </w:rPr>
        <w:t xml:space="preserve">of scientific and technical papers and documents, allowing </w:t>
      </w:r>
      <w:r w:rsidR="005E43FA" w:rsidRPr="003C6F28">
        <w:rPr>
          <w:sz w:val="22"/>
          <w:szCs w:val="22"/>
        </w:rPr>
        <w:lastRenderedPageBreak/>
        <w:t xml:space="preserve">effective comparison of the results obtained </w:t>
      </w:r>
      <w:r w:rsidR="009E41E1" w:rsidRPr="003C6F28">
        <w:rPr>
          <w:sz w:val="22"/>
          <w:szCs w:val="22"/>
        </w:rPr>
        <w:t xml:space="preserve">and </w:t>
      </w:r>
      <w:r w:rsidR="005E43FA" w:rsidRPr="003C6F28">
        <w:rPr>
          <w:sz w:val="22"/>
          <w:szCs w:val="22"/>
        </w:rPr>
        <w:t xml:space="preserve">those presented in other papers. </w:t>
      </w:r>
    </w:p>
    <w:p w14:paraId="755CBD12" w14:textId="59CE01CA" w:rsidR="005E3113" w:rsidRPr="003C6F28" w:rsidRDefault="00766957" w:rsidP="00731E10">
      <w:pPr>
        <w:pStyle w:val="Tekstpodstawowywcity"/>
        <w:rPr>
          <w:sz w:val="22"/>
          <w:szCs w:val="22"/>
        </w:rPr>
      </w:pPr>
      <w:r w:rsidRPr="003C6F28">
        <w:rPr>
          <w:sz w:val="22"/>
          <w:szCs w:val="22"/>
        </w:rPr>
        <w:t xml:space="preserve">The results of the </w:t>
      </w:r>
      <w:r w:rsidR="009A3E38" w:rsidRPr="003C6F28">
        <w:rPr>
          <w:sz w:val="22"/>
          <w:szCs w:val="22"/>
        </w:rPr>
        <w:t xml:space="preserve">neutron </w:t>
      </w:r>
      <w:r w:rsidRPr="003C6F28">
        <w:rPr>
          <w:sz w:val="22"/>
          <w:szCs w:val="22"/>
        </w:rPr>
        <w:t xml:space="preserve">effective multiplication factor confirmed the high </w:t>
      </w:r>
      <w:r w:rsidR="001010D5" w:rsidRPr="003C6F28">
        <w:rPr>
          <w:sz w:val="22"/>
          <w:szCs w:val="22"/>
        </w:rPr>
        <w:t>compatibility</w:t>
      </w:r>
      <w:r w:rsidRPr="003C6F28">
        <w:rPr>
          <w:sz w:val="22"/>
          <w:szCs w:val="22"/>
        </w:rPr>
        <w:t xml:space="preserve"> of the model with the data presented by the United States Nuclear Regulatory Commission.</w:t>
      </w:r>
      <w:r w:rsidR="004A0226" w:rsidRPr="003C6F28">
        <w:t xml:space="preserve"> </w:t>
      </w:r>
      <w:r w:rsidR="004A0226" w:rsidRPr="003C6F28">
        <w:rPr>
          <w:sz w:val="22"/>
          <w:szCs w:val="22"/>
        </w:rPr>
        <w:t xml:space="preserve">The </w:t>
      </w:r>
      <w:r w:rsidR="009E41E1" w:rsidRPr="003C6F28">
        <w:rPr>
          <w:sz w:val="22"/>
          <w:szCs w:val="22"/>
        </w:rPr>
        <w:t xml:space="preserve">encountered </w:t>
      </w:r>
      <w:r w:rsidR="004A0226" w:rsidRPr="003C6F28">
        <w:rPr>
          <w:sz w:val="22"/>
          <w:szCs w:val="22"/>
        </w:rPr>
        <w:t xml:space="preserve">differences </w:t>
      </w:r>
      <w:r w:rsidR="003E77A0" w:rsidRPr="003C6F28">
        <w:rPr>
          <w:sz w:val="22"/>
          <w:szCs w:val="22"/>
        </w:rPr>
        <w:t xml:space="preserve"> </w:t>
      </w:r>
      <w:r w:rsidR="009E41E1" w:rsidRPr="003C6F28">
        <w:rPr>
          <w:sz w:val="22"/>
          <w:szCs w:val="22"/>
        </w:rPr>
        <w:t xml:space="preserve">are the result of </w:t>
      </w:r>
      <w:r w:rsidR="003E77A0" w:rsidRPr="003C6F28">
        <w:rPr>
          <w:sz w:val="22"/>
          <w:szCs w:val="22"/>
        </w:rPr>
        <w:t>the</w:t>
      </w:r>
      <w:r w:rsidR="004A0226" w:rsidRPr="003C6F28">
        <w:rPr>
          <w:sz w:val="22"/>
          <w:szCs w:val="22"/>
        </w:rPr>
        <w:t xml:space="preserve"> simplifications in the investigated model. </w:t>
      </w:r>
      <w:r w:rsidRPr="003C6F28">
        <w:rPr>
          <w:sz w:val="22"/>
          <w:szCs w:val="22"/>
        </w:rPr>
        <w:t xml:space="preserve"> Simulations </w:t>
      </w:r>
      <w:r w:rsidR="009E41E1" w:rsidRPr="003C6F28">
        <w:rPr>
          <w:sz w:val="22"/>
          <w:szCs w:val="22"/>
        </w:rPr>
        <w:t xml:space="preserve">that included </w:t>
      </w:r>
      <w:r w:rsidRPr="003C6F28">
        <w:rPr>
          <w:sz w:val="22"/>
          <w:szCs w:val="22"/>
        </w:rPr>
        <w:t>boric acid confirmed the decrease in k</w:t>
      </w:r>
      <w:r w:rsidRPr="003C6F28">
        <w:rPr>
          <w:sz w:val="22"/>
          <w:szCs w:val="22"/>
          <w:vertAlign w:val="subscript"/>
        </w:rPr>
        <w:t>eff</w:t>
      </w:r>
      <w:r w:rsidRPr="003C6F28">
        <w:rPr>
          <w:sz w:val="22"/>
          <w:szCs w:val="22"/>
        </w:rPr>
        <w:t xml:space="preserve"> due to the insertion of highly neutron-absorbing medium into the coolant.</w:t>
      </w:r>
      <w:r w:rsidR="00F53E12" w:rsidRPr="003C6F28">
        <w:rPr>
          <w:sz w:val="22"/>
          <w:szCs w:val="22"/>
        </w:rPr>
        <w:t xml:space="preserve"> It can be concluded that for higher boric acid concentration in the coolant, </w:t>
      </w:r>
      <w:r w:rsidR="009E41E1" w:rsidRPr="003C6F28">
        <w:rPr>
          <w:sz w:val="22"/>
          <w:szCs w:val="22"/>
        </w:rPr>
        <w:t xml:space="preserve">proportionally </w:t>
      </w:r>
      <w:r w:rsidR="00F53E12" w:rsidRPr="003C6F28">
        <w:rPr>
          <w:sz w:val="22"/>
          <w:szCs w:val="22"/>
        </w:rPr>
        <w:t>lower initial k</w:t>
      </w:r>
      <w:r w:rsidR="00F53E12" w:rsidRPr="003C6F28">
        <w:rPr>
          <w:sz w:val="22"/>
          <w:szCs w:val="22"/>
          <w:vertAlign w:val="subscript"/>
        </w:rPr>
        <w:t>eff</w:t>
      </w:r>
      <w:r w:rsidR="00F53E12" w:rsidRPr="003C6F28">
        <w:rPr>
          <w:sz w:val="22"/>
          <w:szCs w:val="22"/>
        </w:rPr>
        <w:t xml:space="preserve"> values would be obtained.</w:t>
      </w:r>
      <w:r w:rsidR="00AC103E" w:rsidRPr="003C6F28">
        <w:rPr>
          <w:sz w:val="22"/>
          <w:szCs w:val="22"/>
        </w:rPr>
        <w:t xml:space="preserve"> </w:t>
      </w:r>
      <w:bookmarkStart w:id="1" w:name="_Hlk142834441"/>
      <w:r w:rsidR="00731E10" w:rsidRPr="003C6F28">
        <w:rPr>
          <w:sz w:val="22"/>
          <w:szCs w:val="22"/>
        </w:rPr>
        <w:t>Moreover, based on figures 4 and 11</w:t>
      </w:r>
      <w:r w:rsidR="009E41E1" w:rsidRPr="003C6F28">
        <w:rPr>
          <w:sz w:val="22"/>
          <w:szCs w:val="22"/>
        </w:rPr>
        <w:t>,</w:t>
      </w:r>
      <w:r w:rsidR="00731E10" w:rsidRPr="003C6F28">
        <w:rPr>
          <w:sz w:val="22"/>
          <w:szCs w:val="22"/>
        </w:rPr>
        <w:t xml:space="preserve"> it can be </w:t>
      </w:r>
      <w:r w:rsidR="00DD25B3" w:rsidRPr="003C6F28">
        <w:rPr>
          <w:sz w:val="22"/>
          <w:szCs w:val="22"/>
        </w:rPr>
        <w:t>observed</w:t>
      </w:r>
      <w:r w:rsidR="00731E10" w:rsidRPr="003C6F28">
        <w:rPr>
          <w:sz w:val="22"/>
          <w:szCs w:val="22"/>
        </w:rPr>
        <w:t xml:space="preserve"> that the generation of Xe-135 and Sm-149 is strongly dependent on reactor transient</w:t>
      </w:r>
      <w:r w:rsidR="009E41E1" w:rsidRPr="003C6F28">
        <w:rPr>
          <w:sz w:val="22"/>
          <w:szCs w:val="22"/>
        </w:rPr>
        <w:t xml:space="preserve"> states,</w:t>
      </w:r>
      <w:r w:rsidR="00731E10" w:rsidRPr="003C6F28">
        <w:rPr>
          <w:sz w:val="22"/>
          <w:szCs w:val="22"/>
        </w:rPr>
        <w:t xml:space="preserve"> such as its start</w:t>
      </w:r>
      <w:r w:rsidR="009E41E1" w:rsidRPr="003C6F28">
        <w:rPr>
          <w:sz w:val="22"/>
          <w:szCs w:val="22"/>
        </w:rPr>
        <w:t>-</w:t>
      </w:r>
      <w:r w:rsidR="00731E10" w:rsidRPr="003C6F28">
        <w:rPr>
          <w:sz w:val="22"/>
          <w:szCs w:val="22"/>
        </w:rPr>
        <w:t xml:space="preserve">up. The initial high generation of these isotopes significantly affected the decrease in the neutron effective multiplication factor. </w:t>
      </w:r>
      <w:r w:rsidR="00754F7B" w:rsidRPr="003C6F28">
        <w:rPr>
          <w:sz w:val="22"/>
          <w:szCs w:val="22"/>
        </w:rPr>
        <w:t>Furthermore</w:t>
      </w:r>
      <w:r w:rsidR="00731E10" w:rsidRPr="003C6F28">
        <w:rPr>
          <w:sz w:val="22"/>
          <w:szCs w:val="22"/>
        </w:rPr>
        <w:t>, the addition of H</w:t>
      </w:r>
      <w:r w:rsidR="00731E10" w:rsidRPr="003C6F28">
        <w:rPr>
          <w:sz w:val="22"/>
          <w:szCs w:val="22"/>
          <w:vertAlign w:val="subscript"/>
        </w:rPr>
        <w:t>3</w:t>
      </w:r>
      <w:r w:rsidR="00731E10" w:rsidRPr="003C6F28">
        <w:rPr>
          <w:sz w:val="22"/>
          <w:szCs w:val="22"/>
        </w:rPr>
        <w:t>BO</w:t>
      </w:r>
      <w:r w:rsidR="00731E10" w:rsidRPr="003C6F28">
        <w:rPr>
          <w:sz w:val="22"/>
          <w:szCs w:val="22"/>
          <w:vertAlign w:val="subscript"/>
        </w:rPr>
        <w:t>3</w:t>
      </w:r>
      <w:r w:rsidR="00731E10" w:rsidRPr="003C6F28">
        <w:rPr>
          <w:sz w:val="22"/>
          <w:szCs w:val="22"/>
        </w:rPr>
        <w:t xml:space="preserve"> resulted in lower reactor power</w:t>
      </w:r>
      <w:r w:rsidR="009E41E1" w:rsidRPr="003C6F28">
        <w:rPr>
          <w:sz w:val="22"/>
          <w:szCs w:val="22"/>
        </w:rPr>
        <w:t>, and</w:t>
      </w:r>
      <w:r w:rsidR="00731E10" w:rsidRPr="003C6F28">
        <w:rPr>
          <w:sz w:val="22"/>
          <w:szCs w:val="22"/>
        </w:rPr>
        <w:t xml:space="preserve"> thus</w:t>
      </w:r>
      <w:r w:rsidR="009E41E1" w:rsidRPr="003C6F28">
        <w:rPr>
          <w:sz w:val="22"/>
          <w:szCs w:val="22"/>
        </w:rPr>
        <w:t xml:space="preserve"> a</w:t>
      </w:r>
      <w:r w:rsidR="00731E10" w:rsidRPr="003C6F28">
        <w:rPr>
          <w:sz w:val="22"/>
          <w:szCs w:val="22"/>
        </w:rPr>
        <w:t xml:space="preserve"> slower removal of poisons from the core.</w:t>
      </w:r>
    </w:p>
    <w:bookmarkEnd w:id="1"/>
    <w:p w14:paraId="3ACC5B19" w14:textId="07EE07F1" w:rsidR="009E3447" w:rsidRPr="003C6F28" w:rsidRDefault="00766957" w:rsidP="00C953E1">
      <w:pPr>
        <w:pStyle w:val="Tekstpodstawowywcity"/>
        <w:rPr>
          <w:sz w:val="22"/>
          <w:szCs w:val="22"/>
        </w:rPr>
      </w:pPr>
      <w:r w:rsidRPr="003C6F28">
        <w:rPr>
          <w:sz w:val="22"/>
          <w:szCs w:val="22"/>
        </w:rPr>
        <w:t xml:space="preserve"> The obtained figure of neutron flux density </w:t>
      </w:r>
      <w:r w:rsidR="00E55793" w:rsidRPr="003C6F28">
        <w:rPr>
          <w:sz w:val="22"/>
          <w:szCs w:val="22"/>
        </w:rPr>
        <w:br/>
      </w:r>
      <w:r w:rsidRPr="003C6F28">
        <w:rPr>
          <w:sz w:val="22"/>
          <w:szCs w:val="22"/>
        </w:rPr>
        <w:t xml:space="preserve">as a function of neutron energy (Fig. 5) agrees with the characteristics </w:t>
      </w:r>
      <w:r w:rsidR="003E77A0" w:rsidRPr="003C6F28">
        <w:rPr>
          <w:sz w:val="22"/>
          <w:szCs w:val="22"/>
        </w:rPr>
        <w:t>provided</w:t>
      </w:r>
      <w:r w:rsidRPr="003C6F28">
        <w:rPr>
          <w:sz w:val="22"/>
          <w:szCs w:val="22"/>
        </w:rPr>
        <w:t xml:space="preserve"> in the literature. It can be concluded that the </w:t>
      </w:r>
      <w:r w:rsidR="009E41E1" w:rsidRPr="003C6F28">
        <w:rPr>
          <w:sz w:val="22"/>
          <w:szCs w:val="22"/>
        </w:rPr>
        <w:t xml:space="preserve">introduction </w:t>
      </w:r>
      <w:r w:rsidRPr="003C6F28">
        <w:rPr>
          <w:sz w:val="22"/>
          <w:szCs w:val="22"/>
        </w:rPr>
        <w:t xml:space="preserve">of boric acid </w:t>
      </w:r>
      <w:r w:rsidR="009E41E1" w:rsidRPr="003C6F28">
        <w:rPr>
          <w:sz w:val="22"/>
          <w:szCs w:val="22"/>
        </w:rPr>
        <w:t xml:space="preserve">into </w:t>
      </w:r>
      <w:r w:rsidRPr="003C6F28">
        <w:rPr>
          <w:sz w:val="22"/>
          <w:szCs w:val="22"/>
        </w:rPr>
        <w:t xml:space="preserve">the coolant reduces the flux density of neutrons with thermal energies. </w:t>
      </w:r>
    </w:p>
    <w:p w14:paraId="063E6C4B" w14:textId="11143B49" w:rsidR="00F35D18" w:rsidRPr="003C6F28" w:rsidRDefault="007F7AA2" w:rsidP="00FE44EA">
      <w:pPr>
        <w:pStyle w:val="Tekstpodstawowywcity"/>
        <w:rPr>
          <w:sz w:val="22"/>
          <w:szCs w:val="22"/>
        </w:rPr>
      </w:pPr>
      <w:r w:rsidRPr="003C6F28">
        <w:rPr>
          <w:sz w:val="22"/>
          <w:szCs w:val="22"/>
        </w:rPr>
        <w:t>Based on the results from fuel burnup calculations, it can be observed that at the end of the fuel campaign, most of the material in the core consists of uranium isotopes while fission products and transuranic</w:t>
      </w:r>
      <w:r w:rsidR="00EA7D4D" w:rsidRPr="003C6F28">
        <w:rPr>
          <w:sz w:val="22"/>
          <w:szCs w:val="22"/>
        </w:rPr>
        <w:t xml:space="preserve"> elements</w:t>
      </w:r>
      <w:r w:rsidRPr="003C6F28">
        <w:rPr>
          <w:sz w:val="22"/>
          <w:szCs w:val="22"/>
        </w:rPr>
        <w:t xml:space="preserve"> constitute only a </w:t>
      </w:r>
      <w:r w:rsidR="009E41E1" w:rsidRPr="003C6F28">
        <w:rPr>
          <w:sz w:val="22"/>
          <w:szCs w:val="22"/>
        </w:rPr>
        <w:t>small</w:t>
      </w:r>
      <w:r w:rsidRPr="003C6F28">
        <w:rPr>
          <w:sz w:val="22"/>
          <w:szCs w:val="22"/>
        </w:rPr>
        <w:t xml:space="preserve"> percent</w:t>
      </w:r>
      <w:r w:rsidR="009E41E1" w:rsidRPr="003C6F28">
        <w:rPr>
          <w:sz w:val="22"/>
          <w:szCs w:val="22"/>
        </w:rPr>
        <w:t>age</w:t>
      </w:r>
      <w:r w:rsidRPr="003C6F28">
        <w:rPr>
          <w:sz w:val="22"/>
          <w:szCs w:val="22"/>
        </w:rPr>
        <w:t>.</w:t>
      </w:r>
      <w:r w:rsidR="00FE44EA" w:rsidRPr="003C6F28">
        <w:rPr>
          <w:sz w:val="22"/>
          <w:szCs w:val="22"/>
        </w:rPr>
        <w:t xml:space="preserve"> </w:t>
      </w:r>
      <w:r w:rsidR="00FE2E7C" w:rsidRPr="003C6F28">
        <w:rPr>
          <w:sz w:val="22"/>
          <w:szCs w:val="22"/>
        </w:rPr>
        <w:t>Moreover</w:t>
      </w:r>
      <w:r w:rsidR="00ED19FB" w:rsidRPr="003C6F28">
        <w:rPr>
          <w:sz w:val="22"/>
          <w:szCs w:val="22"/>
        </w:rPr>
        <w:t>, the effect of added boric acid to the coolant on the total mass changes of some isotopes can be observed.</w:t>
      </w:r>
    </w:p>
    <w:p w14:paraId="696E5D1E" w14:textId="74AF5DFC" w:rsidR="00766957" w:rsidRPr="003C6F28" w:rsidRDefault="00766957" w:rsidP="00766957">
      <w:pPr>
        <w:pStyle w:val="Tekstpodstawowywcity"/>
        <w:rPr>
          <w:sz w:val="22"/>
          <w:szCs w:val="22"/>
        </w:rPr>
      </w:pPr>
      <w:r w:rsidRPr="003C6F28">
        <w:rPr>
          <w:sz w:val="22"/>
          <w:szCs w:val="22"/>
        </w:rPr>
        <w:t xml:space="preserve">The obtained results verified the correctness of the </w:t>
      </w:r>
      <w:r w:rsidR="00636B4D" w:rsidRPr="003C6F28">
        <w:rPr>
          <w:sz w:val="22"/>
          <w:szCs w:val="22"/>
        </w:rPr>
        <w:t>AP1000</w:t>
      </w:r>
      <w:r w:rsidR="0043300C" w:rsidRPr="003C6F28">
        <w:rPr>
          <w:sz w:val="22"/>
          <w:szCs w:val="22"/>
        </w:rPr>
        <w:t xml:space="preserve"> reactor</w:t>
      </w:r>
      <w:r w:rsidRPr="003C6F28">
        <w:rPr>
          <w:sz w:val="22"/>
          <w:szCs w:val="22"/>
        </w:rPr>
        <w:t xml:space="preserve"> model. Furthermore, the performed analysis shows that the OpenMC neutron code is an effective tool for performing burnup calculations. It</w:t>
      </w:r>
      <w:r w:rsidR="00464091" w:rsidRPr="003C6F28">
        <w:rPr>
          <w:sz w:val="22"/>
          <w:szCs w:val="22"/>
        </w:rPr>
        <w:t> </w:t>
      </w:r>
      <w:r w:rsidRPr="003C6F28">
        <w:rPr>
          <w:sz w:val="22"/>
          <w:szCs w:val="22"/>
        </w:rPr>
        <w:t>also provides an easy way to obtain a visuali</w:t>
      </w:r>
      <w:r w:rsidR="00C45C0D">
        <w:rPr>
          <w:sz w:val="22"/>
          <w:szCs w:val="22"/>
        </w:rPr>
        <w:t>z</w:t>
      </w:r>
      <w:r w:rsidRPr="003C6F28">
        <w:rPr>
          <w:sz w:val="22"/>
          <w:szCs w:val="22"/>
        </w:rPr>
        <w:t>ation of the geometry</w:t>
      </w:r>
      <w:r w:rsidR="009E41E1" w:rsidRPr="003C6F28">
        <w:rPr>
          <w:sz w:val="22"/>
          <w:szCs w:val="22"/>
        </w:rPr>
        <w:t xml:space="preserve"> </w:t>
      </w:r>
      <w:r w:rsidRPr="003C6F28">
        <w:rPr>
          <w:sz w:val="22"/>
          <w:szCs w:val="22"/>
        </w:rPr>
        <w:t>so that effective changes can be made</w:t>
      </w:r>
      <w:r w:rsidR="003E77A0" w:rsidRPr="003C6F28">
        <w:rPr>
          <w:sz w:val="22"/>
          <w:szCs w:val="22"/>
        </w:rPr>
        <w:t>.</w:t>
      </w:r>
    </w:p>
    <w:p w14:paraId="5EE965CB" w14:textId="021BF98E" w:rsidR="00C73F8E" w:rsidRPr="003C6F28" w:rsidRDefault="00766957" w:rsidP="006D4345">
      <w:pPr>
        <w:pStyle w:val="Tekstpodstawowywcity"/>
        <w:rPr>
          <w:sz w:val="22"/>
          <w:szCs w:val="22"/>
        </w:rPr>
      </w:pPr>
      <w:r w:rsidRPr="003C6F28">
        <w:rPr>
          <w:sz w:val="22"/>
          <w:szCs w:val="22"/>
        </w:rPr>
        <w:t>In the future, the presented model of the AP1000 reactor can be used for further neutron</w:t>
      </w:r>
      <w:r w:rsidR="00051858" w:rsidRPr="003C6F28">
        <w:rPr>
          <w:sz w:val="22"/>
          <w:szCs w:val="22"/>
        </w:rPr>
        <w:t>ic</w:t>
      </w:r>
      <w:r w:rsidRPr="003C6F28">
        <w:rPr>
          <w:sz w:val="22"/>
          <w:szCs w:val="22"/>
        </w:rPr>
        <w:t xml:space="preserve"> analyses related to, among other issues, the impact of the insertion of control rods into the active part of the core and their effect on the change in reactivity. </w:t>
      </w:r>
      <w:r w:rsidR="0072760F" w:rsidRPr="003C6F28">
        <w:rPr>
          <w:sz w:val="22"/>
          <w:szCs w:val="22"/>
        </w:rPr>
        <w:br/>
      </w:r>
      <w:r w:rsidRPr="003C6F28">
        <w:rPr>
          <w:sz w:val="22"/>
          <w:szCs w:val="22"/>
        </w:rPr>
        <w:t xml:space="preserve">The geometry of the </w:t>
      </w:r>
      <w:r w:rsidR="00146D6B" w:rsidRPr="003C6F28">
        <w:rPr>
          <w:sz w:val="22"/>
          <w:szCs w:val="22"/>
        </w:rPr>
        <w:t>shutdown</w:t>
      </w:r>
      <w:r w:rsidRPr="003C6F28">
        <w:rPr>
          <w:sz w:val="22"/>
          <w:szCs w:val="22"/>
        </w:rPr>
        <w:t xml:space="preserve"> rods (SD1, SD2, SD3 and SD4) is already included in the model, but the research specifications in th</w:t>
      </w:r>
      <w:r w:rsidR="009E41E1" w:rsidRPr="003C6F28">
        <w:rPr>
          <w:sz w:val="22"/>
          <w:szCs w:val="22"/>
        </w:rPr>
        <w:t>is</w:t>
      </w:r>
      <w:r w:rsidRPr="003C6F28">
        <w:rPr>
          <w:sz w:val="22"/>
          <w:szCs w:val="22"/>
        </w:rPr>
        <w:t xml:space="preserve"> paper </w:t>
      </w:r>
      <w:r w:rsidR="003E77A0" w:rsidRPr="003C6F28">
        <w:rPr>
          <w:sz w:val="22"/>
          <w:szCs w:val="22"/>
        </w:rPr>
        <w:t>made it</w:t>
      </w:r>
      <w:r w:rsidR="00720798" w:rsidRPr="003C6F28">
        <w:rPr>
          <w:sz w:val="22"/>
          <w:szCs w:val="22"/>
        </w:rPr>
        <w:t> </w:t>
      </w:r>
      <w:r w:rsidR="003E77A0" w:rsidRPr="003C6F28">
        <w:rPr>
          <w:sz w:val="22"/>
          <w:szCs w:val="22"/>
        </w:rPr>
        <w:t>necessary</w:t>
      </w:r>
      <w:r w:rsidRPr="003C6F28">
        <w:rPr>
          <w:sz w:val="22"/>
          <w:szCs w:val="22"/>
        </w:rPr>
        <w:t xml:space="preserve"> to move them completely </w:t>
      </w:r>
      <w:r w:rsidR="003E77A0" w:rsidRPr="003C6F28">
        <w:rPr>
          <w:sz w:val="22"/>
          <w:szCs w:val="22"/>
        </w:rPr>
        <w:t xml:space="preserve">extracted </w:t>
      </w:r>
      <w:r w:rsidRPr="003C6F28">
        <w:rPr>
          <w:sz w:val="22"/>
          <w:szCs w:val="22"/>
        </w:rPr>
        <w:t>out of</w:t>
      </w:r>
      <w:r w:rsidR="00720798" w:rsidRPr="003C6F28">
        <w:rPr>
          <w:sz w:val="22"/>
          <w:szCs w:val="22"/>
        </w:rPr>
        <w:t> </w:t>
      </w:r>
      <w:r w:rsidRPr="003C6F28">
        <w:rPr>
          <w:sz w:val="22"/>
          <w:szCs w:val="22"/>
        </w:rPr>
        <w:t>the guide</w:t>
      </w:r>
      <w:r w:rsidR="00234828" w:rsidRPr="003C6F28">
        <w:rPr>
          <w:sz w:val="22"/>
          <w:szCs w:val="22"/>
        </w:rPr>
        <w:t xml:space="preserve"> thimbles</w:t>
      </w:r>
      <w:r w:rsidRPr="003C6F28">
        <w:rPr>
          <w:sz w:val="22"/>
          <w:szCs w:val="22"/>
        </w:rPr>
        <w:t xml:space="preserve"> located in the core.</w:t>
      </w:r>
    </w:p>
    <w:p w14:paraId="47B1ABC0" w14:textId="2D0462CA" w:rsidR="00781B6A" w:rsidRPr="003C6F28" w:rsidRDefault="00A73779">
      <w:pPr>
        <w:pStyle w:val="ReferencesClauseTitle"/>
        <w:jc w:val="center"/>
        <w:rPr>
          <w:rFonts w:ascii="Times New Roman" w:hAnsi="Times New Roman"/>
          <w:sz w:val="22"/>
          <w:szCs w:val="22"/>
        </w:rPr>
      </w:pPr>
      <w:r w:rsidRPr="003C6F28">
        <w:rPr>
          <w:rFonts w:ascii="Times New Roman" w:hAnsi="Times New Roman"/>
          <w:caps w:val="0"/>
          <w:sz w:val="22"/>
          <w:szCs w:val="22"/>
        </w:rPr>
        <w:t>References</w:t>
      </w:r>
    </w:p>
    <w:p w14:paraId="0616C663" w14:textId="77777777" w:rsidR="00781B6A" w:rsidRPr="003C6F28" w:rsidRDefault="00781B6A">
      <w:pPr>
        <w:pStyle w:val="Tekstpodstawowywcity"/>
      </w:pPr>
    </w:p>
    <w:p w14:paraId="2B5066A8" w14:textId="043B4709" w:rsidR="000C10E2" w:rsidRPr="003C6F28" w:rsidRDefault="000C10E2" w:rsidP="000C10E2">
      <w:pPr>
        <w:pStyle w:val="Akapitzlist"/>
        <w:numPr>
          <w:ilvl w:val="0"/>
          <w:numId w:val="1"/>
        </w:numPr>
      </w:pPr>
      <w:r w:rsidRPr="003C6F28">
        <w:t xml:space="preserve">International Atomic Energy Agency, Nuclear Power Reactors in the World, Reference Data Series No. 2, </w:t>
      </w:r>
      <w:r w:rsidR="00BA243F" w:rsidRPr="003C6F28">
        <w:t xml:space="preserve">page </w:t>
      </w:r>
      <w:r w:rsidR="004746E8" w:rsidRPr="003C6F28">
        <w:t>9</w:t>
      </w:r>
      <w:r w:rsidR="0014609C" w:rsidRPr="003C6F28">
        <w:t>-</w:t>
      </w:r>
      <w:r w:rsidR="004746E8" w:rsidRPr="003C6F28">
        <w:t>10</w:t>
      </w:r>
      <w:r w:rsidR="005564A6" w:rsidRPr="003C6F28">
        <w:t>,</w:t>
      </w:r>
      <w:r w:rsidR="00CC2629" w:rsidRPr="003C6F28">
        <w:t xml:space="preserve"> </w:t>
      </w:r>
      <w:r w:rsidRPr="003C6F28">
        <w:t xml:space="preserve">IAEA, Vienna (2022).  </w:t>
      </w:r>
    </w:p>
    <w:p w14:paraId="5AA9B10F" w14:textId="77777777" w:rsidR="00781B6A" w:rsidRPr="003C6F28" w:rsidRDefault="00781B6A">
      <w:pPr>
        <w:pStyle w:val="Tekstpodstawowywcity"/>
        <w:ind w:firstLine="0"/>
      </w:pPr>
    </w:p>
    <w:p w14:paraId="6C6AD158" w14:textId="66B702D0" w:rsidR="00BE7308" w:rsidRPr="003C6F28" w:rsidRDefault="00D8528D" w:rsidP="00BE7308">
      <w:pPr>
        <w:pStyle w:val="Akapitzlist"/>
        <w:numPr>
          <w:ilvl w:val="0"/>
          <w:numId w:val="1"/>
        </w:numPr>
        <w:rPr>
          <w:lang w:val="pl-PL"/>
        </w:rPr>
      </w:pPr>
      <w:r w:rsidRPr="003C6F28">
        <w:rPr>
          <w:lang w:val="pl-PL"/>
        </w:rPr>
        <w:t xml:space="preserve">J. </w:t>
      </w:r>
      <w:r w:rsidR="00BE7308" w:rsidRPr="003C6F28">
        <w:rPr>
          <w:lang w:val="pl-PL"/>
        </w:rPr>
        <w:t>Kubowski, Elektrownie J</w:t>
      </w:r>
      <w:r w:rsidR="0039504A">
        <w:rPr>
          <w:lang w:val="pl-PL"/>
        </w:rPr>
        <w:t>a</w:t>
      </w:r>
      <w:r w:rsidR="00BE7308" w:rsidRPr="003C6F28">
        <w:rPr>
          <w:lang w:val="pl-PL"/>
        </w:rPr>
        <w:t>drowe,</w:t>
      </w:r>
      <w:r w:rsidR="00DF7FAD" w:rsidRPr="003C6F28">
        <w:rPr>
          <w:lang w:val="pl-PL"/>
        </w:rPr>
        <w:t xml:space="preserve"> </w:t>
      </w:r>
      <w:r w:rsidR="007B7C44">
        <w:rPr>
          <w:lang w:val="pl-PL"/>
        </w:rPr>
        <w:t>C</w:t>
      </w:r>
      <w:r w:rsidR="00103511" w:rsidRPr="003C6F28">
        <w:rPr>
          <w:lang w:val="pl-PL"/>
        </w:rPr>
        <w:t xml:space="preserve">hapter </w:t>
      </w:r>
      <w:r w:rsidR="00DF7FAD" w:rsidRPr="003C6F28">
        <w:rPr>
          <w:lang w:val="pl-PL"/>
        </w:rPr>
        <w:t>10</w:t>
      </w:r>
      <w:r w:rsidR="009D7D38" w:rsidRPr="003C6F28">
        <w:rPr>
          <w:lang w:val="pl-PL"/>
        </w:rPr>
        <w:t xml:space="preserve"> and 11</w:t>
      </w:r>
      <w:r w:rsidR="00100FBA" w:rsidRPr="003C6F28">
        <w:rPr>
          <w:lang w:val="pl-PL"/>
        </w:rPr>
        <w:t>,</w:t>
      </w:r>
      <w:r w:rsidR="00DF7FAD" w:rsidRPr="003C6F28">
        <w:rPr>
          <w:lang w:val="pl-PL"/>
        </w:rPr>
        <w:t xml:space="preserve"> </w:t>
      </w:r>
      <w:r w:rsidR="00BE7308" w:rsidRPr="003C6F28">
        <w:rPr>
          <w:lang w:val="pl-PL"/>
        </w:rPr>
        <w:t xml:space="preserve"> Wydawnictwo</w:t>
      </w:r>
      <w:r w:rsidR="00475F83" w:rsidRPr="003C6F28">
        <w:rPr>
          <w:lang w:val="pl-PL"/>
        </w:rPr>
        <w:t xml:space="preserve"> </w:t>
      </w:r>
      <w:r w:rsidR="00BE7308" w:rsidRPr="003C6F28">
        <w:rPr>
          <w:lang w:val="pl-PL"/>
        </w:rPr>
        <w:t>Naukowo-Techniczne,</w:t>
      </w:r>
      <w:r w:rsidR="00F022F7" w:rsidRPr="003C6F28">
        <w:rPr>
          <w:lang w:val="pl-PL"/>
        </w:rPr>
        <w:t xml:space="preserve"> </w:t>
      </w:r>
      <w:r w:rsidR="00BE7308" w:rsidRPr="003C6F28">
        <w:rPr>
          <w:lang w:val="pl-PL"/>
        </w:rPr>
        <w:t>Warszawa (20</w:t>
      </w:r>
      <w:r w:rsidR="0032193E" w:rsidRPr="003C6F28">
        <w:rPr>
          <w:lang w:val="pl-PL"/>
        </w:rPr>
        <w:t>20</w:t>
      </w:r>
      <w:r w:rsidR="00BE7308" w:rsidRPr="003C6F28">
        <w:rPr>
          <w:lang w:val="pl-PL"/>
        </w:rPr>
        <w:t>).</w:t>
      </w:r>
    </w:p>
    <w:p w14:paraId="374C275A" w14:textId="77777777" w:rsidR="00781B6A" w:rsidRPr="003C6F28" w:rsidRDefault="00781B6A">
      <w:pPr>
        <w:pStyle w:val="Tekstpodstawowywcity"/>
        <w:ind w:firstLine="0"/>
        <w:rPr>
          <w:lang w:val="pl-PL"/>
        </w:rPr>
      </w:pPr>
    </w:p>
    <w:p w14:paraId="1CE7F353" w14:textId="38E20478" w:rsidR="007B69B6" w:rsidRPr="003C6F28" w:rsidRDefault="007F4D76" w:rsidP="00061EB9">
      <w:pPr>
        <w:pStyle w:val="Akapitzlist"/>
        <w:numPr>
          <w:ilvl w:val="0"/>
          <w:numId w:val="1"/>
        </w:numPr>
        <w:rPr>
          <w:lang w:val="pl-PL"/>
        </w:rPr>
      </w:pPr>
      <w:r w:rsidRPr="003C6F28">
        <w:rPr>
          <w:lang w:val="pl-PL"/>
        </w:rPr>
        <w:t xml:space="preserve">L. </w:t>
      </w:r>
      <w:r w:rsidR="00E952E2" w:rsidRPr="003C6F28">
        <w:rPr>
          <w:lang w:val="pl-PL"/>
        </w:rPr>
        <w:t>Dobrzy</w:t>
      </w:r>
      <w:r w:rsidR="00CD17DA">
        <w:rPr>
          <w:lang w:val="pl-PL"/>
        </w:rPr>
        <w:t>n</w:t>
      </w:r>
      <w:r w:rsidR="00E952E2" w:rsidRPr="003C6F28">
        <w:rPr>
          <w:lang w:val="pl-PL"/>
        </w:rPr>
        <w:t>ski, Podstawy fizyki reaktor</w:t>
      </w:r>
      <w:r w:rsidR="00CD17DA">
        <w:rPr>
          <w:lang w:val="pl-PL"/>
        </w:rPr>
        <w:t>o</w:t>
      </w:r>
      <w:r w:rsidR="00E952E2" w:rsidRPr="003C6F28">
        <w:rPr>
          <w:lang w:val="pl-PL"/>
        </w:rPr>
        <w:t>w j</w:t>
      </w:r>
      <w:r w:rsidR="00CD17DA">
        <w:rPr>
          <w:lang w:val="pl-PL"/>
        </w:rPr>
        <w:t>a</w:t>
      </w:r>
      <w:r w:rsidR="00E952E2" w:rsidRPr="003C6F28">
        <w:rPr>
          <w:lang w:val="pl-PL"/>
        </w:rPr>
        <w:t>drowych,</w:t>
      </w:r>
      <w:r w:rsidR="00061EB9" w:rsidRPr="003C6F28">
        <w:rPr>
          <w:lang w:val="pl-PL"/>
        </w:rPr>
        <w:t xml:space="preserve"> chapter 5, </w:t>
      </w:r>
      <w:r w:rsidR="00E952E2" w:rsidRPr="003C6F28">
        <w:rPr>
          <w:lang w:val="pl-PL"/>
        </w:rPr>
        <w:t>Narodowe Centrum Bada</w:t>
      </w:r>
      <w:r w:rsidR="00775574">
        <w:rPr>
          <w:lang w:val="pl-PL"/>
        </w:rPr>
        <w:t>n</w:t>
      </w:r>
      <w:r w:rsidR="00E952E2" w:rsidRPr="003C6F28">
        <w:rPr>
          <w:lang w:val="pl-PL"/>
        </w:rPr>
        <w:t xml:space="preserve"> J</w:t>
      </w:r>
      <w:r w:rsidR="00CD17DA">
        <w:rPr>
          <w:lang w:val="pl-PL"/>
        </w:rPr>
        <w:t>a</w:t>
      </w:r>
      <w:r w:rsidR="00E952E2" w:rsidRPr="003C6F28">
        <w:rPr>
          <w:lang w:val="pl-PL"/>
        </w:rPr>
        <w:t xml:space="preserve">drowych w </w:t>
      </w:r>
      <w:r w:rsidR="00CD17DA">
        <w:rPr>
          <w:lang w:val="pl-PL"/>
        </w:rPr>
        <w:t>S</w:t>
      </w:r>
      <w:r w:rsidR="00E952E2" w:rsidRPr="003C6F28">
        <w:rPr>
          <w:lang w:val="pl-PL"/>
        </w:rPr>
        <w:t>wierku oraz Wydzia</w:t>
      </w:r>
      <w:r w:rsidR="008F3A75">
        <w:rPr>
          <w:lang w:val="pl-PL"/>
        </w:rPr>
        <w:t>l</w:t>
      </w:r>
      <w:r w:rsidR="00E952E2" w:rsidRPr="003C6F28">
        <w:rPr>
          <w:lang w:val="pl-PL"/>
        </w:rPr>
        <w:t xml:space="preserve"> Matematyczno-Fizyczny Uniwersytetu Kardyna</w:t>
      </w:r>
      <w:r w:rsidR="008F3A75">
        <w:rPr>
          <w:lang w:val="pl-PL"/>
        </w:rPr>
        <w:t>l</w:t>
      </w:r>
      <w:r w:rsidR="00E952E2" w:rsidRPr="003C6F28">
        <w:rPr>
          <w:lang w:val="pl-PL"/>
        </w:rPr>
        <w:t>a Stefana Wyszy</w:t>
      </w:r>
      <w:r w:rsidR="00231F6E">
        <w:rPr>
          <w:lang w:val="pl-PL"/>
        </w:rPr>
        <w:t>n</w:t>
      </w:r>
      <w:r w:rsidR="00E952E2" w:rsidRPr="003C6F28">
        <w:rPr>
          <w:lang w:val="pl-PL"/>
        </w:rPr>
        <w:t xml:space="preserve">skiego w Warszawie, </w:t>
      </w:r>
      <w:r w:rsidR="00CD17DA">
        <w:rPr>
          <w:lang w:val="pl-PL"/>
        </w:rPr>
        <w:t>S</w:t>
      </w:r>
      <w:r w:rsidR="00E952E2" w:rsidRPr="003C6F28">
        <w:rPr>
          <w:lang w:val="pl-PL"/>
        </w:rPr>
        <w:t>wierk (2013).</w:t>
      </w:r>
    </w:p>
    <w:p w14:paraId="7888316C" w14:textId="77777777" w:rsidR="007B69B6" w:rsidRPr="003C6F28" w:rsidRDefault="007B69B6" w:rsidP="007B69B6">
      <w:pPr>
        <w:rPr>
          <w:lang w:val="pl-PL"/>
        </w:rPr>
      </w:pPr>
    </w:p>
    <w:p w14:paraId="17C7650F" w14:textId="52F66CCC" w:rsidR="00781B6A" w:rsidRPr="003C6F28" w:rsidRDefault="00402ECF" w:rsidP="00E952E2">
      <w:pPr>
        <w:pStyle w:val="Tekstpodstawowywcity"/>
        <w:numPr>
          <w:ilvl w:val="0"/>
          <w:numId w:val="1"/>
        </w:numPr>
      </w:pPr>
      <w:r w:rsidRPr="003C6F28">
        <w:t>International Atomic Energy Agency, Operating Experience with Nuclear Power Stations in Member States,</w:t>
      </w:r>
      <w:r w:rsidR="00441D1F" w:rsidRPr="003C6F28">
        <w:t xml:space="preserve"> page</w:t>
      </w:r>
      <w:r w:rsidR="00E73F3E" w:rsidRPr="003C6F28">
        <w:t xml:space="preserve"> </w:t>
      </w:r>
      <w:r w:rsidR="004E7869" w:rsidRPr="003C6F28">
        <w:t>201-</w:t>
      </w:r>
      <w:r w:rsidR="00391C0E" w:rsidRPr="003C6F28">
        <w:t>206</w:t>
      </w:r>
      <w:r w:rsidR="004E7869" w:rsidRPr="003C6F28">
        <w:t xml:space="preserve">; </w:t>
      </w:r>
      <w:r w:rsidR="004310CA" w:rsidRPr="003C6F28">
        <w:t>267-272</w:t>
      </w:r>
      <w:r w:rsidR="003A6BBB" w:rsidRPr="003C6F28">
        <w:t>,</w:t>
      </w:r>
      <w:r w:rsidR="00441D1F" w:rsidRPr="003C6F28">
        <w:t xml:space="preserve"> </w:t>
      </w:r>
      <w:r w:rsidRPr="003C6F28">
        <w:t xml:space="preserve">IAEA, Vienna (2022). </w:t>
      </w:r>
    </w:p>
    <w:p w14:paraId="5001D916" w14:textId="77777777" w:rsidR="00DA09AC" w:rsidRPr="003C6F28" w:rsidRDefault="00DA09AC" w:rsidP="00DA09AC">
      <w:pPr>
        <w:pStyle w:val="Akapitzlist"/>
      </w:pPr>
    </w:p>
    <w:p w14:paraId="4D50A4A5" w14:textId="689325D3" w:rsidR="00B7491F" w:rsidRPr="003C6F28" w:rsidRDefault="00B7491F" w:rsidP="00B7491F">
      <w:pPr>
        <w:pStyle w:val="Akapitzlist"/>
        <w:numPr>
          <w:ilvl w:val="0"/>
          <w:numId w:val="1"/>
        </w:numPr>
      </w:pPr>
      <w:r w:rsidRPr="003C6F28">
        <w:t>www.georgiapower.com/company/plant</w:t>
      </w:r>
      <w:r w:rsidR="009D0A2D" w:rsidRPr="003C6F28">
        <w:t>-</w:t>
      </w:r>
      <w:r w:rsidRPr="003C6F28">
        <w:t>vogtle.html</w:t>
      </w:r>
    </w:p>
    <w:p w14:paraId="64DEA974" w14:textId="64CEABD5" w:rsidR="00A67B2C" w:rsidRPr="003C6F28" w:rsidRDefault="00C03D9A" w:rsidP="002C4EEF">
      <w:pPr>
        <w:pStyle w:val="Akapitzlist"/>
        <w:ind w:left="360"/>
      </w:pPr>
      <w:r w:rsidRPr="003C6F28">
        <w:t xml:space="preserve">(access: </w:t>
      </w:r>
      <w:r w:rsidR="006E7E9F" w:rsidRPr="003C6F28">
        <w:t>1</w:t>
      </w:r>
      <w:r w:rsidR="006E418A" w:rsidRPr="003C6F28">
        <w:t>3</w:t>
      </w:r>
      <w:r w:rsidRPr="003C6F28">
        <w:t>.08.2023)</w:t>
      </w:r>
      <w:r w:rsidR="00735C69" w:rsidRPr="003C6F28">
        <w:t>.</w:t>
      </w:r>
    </w:p>
    <w:p w14:paraId="757CD6CA" w14:textId="77777777" w:rsidR="001B7D55" w:rsidRPr="003C6F28" w:rsidRDefault="001B7D55" w:rsidP="001B7D55"/>
    <w:p w14:paraId="129A0A3F" w14:textId="3E5802EA" w:rsidR="00CB2075" w:rsidRPr="003C6F28" w:rsidRDefault="00F81446" w:rsidP="00CB2075">
      <w:pPr>
        <w:pStyle w:val="Akapitzlist"/>
        <w:numPr>
          <w:ilvl w:val="0"/>
          <w:numId w:val="1"/>
        </w:numPr>
      </w:pPr>
      <w:r w:rsidRPr="003C6F28">
        <w:t xml:space="preserve">P. K. </w:t>
      </w:r>
      <w:r w:rsidR="00CB2075" w:rsidRPr="003C6F28">
        <w:t>Romano,</w:t>
      </w:r>
      <w:r w:rsidR="0048009A" w:rsidRPr="003C6F28">
        <w:t xml:space="preserve"> N. E.</w:t>
      </w:r>
      <w:r w:rsidR="00CB2075" w:rsidRPr="003C6F28">
        <w:t xml:space="preserve"> Horelik,</w:t>
      </w:r>
      <w:r w:rsidR="0029403B" w:rsidRPr="003C6F28">
        <w:t xml:space="preserve"> B. R.</w:t>
      </w:r>
      <w:r w:rsidR="00CB2075" w:rsidRPr="003C6F28">
        <w:t xml:space="preserve"> Herman,</w:t>
      </w:r>
      <w:r w:rsidR="00CB5841" w:rsidRPr="003C6F28">
        <w:t xml:space="preserve"> A. G.</w:t>
      </w:r>
      <w:r w:rsidR="00CB2075" w:rsidRPr="003C6F28">
        <w:t xml:space="preserve"> Nelson, </w:t>
      </w:r>
      <w:r w:rsidR="00C50488" w:rsidRPr="003C6F28">
        <w:t xml:space="preserve">B. </w:t>
      </w:r>
      <w:r w:rsidR="00CB2075" w:rsidRPr="003C6F28">
        <w:t xml:space="preserve">Forget, </w:t>
      </w:r>
      <w:r w:rsidR="00B77411" w:rsidRPr="003C6F28">
        <w:t xml:space="preserve">K. </w:t>
      </w:r>
      <w:r w:rsidR="00CB2075" w:rsidRPr="003C6F28">
        <w:t>Smith, “OpenMC: A State-of-the-Art Monte Carlo Code for Research and Development, Ann</w:t>
      </w:r>
      <w:r w:rsidR="0092258A" w:rsidRPr="003C6F28">
        <w:t>als</w:t>
      </w:r>
      <w:r w:rsidR="00CB2075" w:rsidRPr="003C6F28">
        <w:t xml:space="preserve"> Nucl</w:t>
      </w:r>
      <w:r w:rsidR="001D22FC" w:rsidRPr="003C6F28">
        <w:t>ear</w:t>
      </w:r>
      <w:r w:rsidR="00CB2075" w:rsidRPr="003C6F28">
        <w:t xml:space="preserve"> Energy”, 82, 90–97 (2015).</w:t>
      </w:r>
    </w:p>
    <w:p w14:paraId="7BFCE07D" w14:textId="77777777" w:rsidR="00D3025D" w:rsidRPr="003C6F28" w:rsidRDefault="00D3025D" w:rsidP="00D3025D"/>
    <w:p w14:paraId="343E2F41" w14:textId="13361457" w:rsidR="00D3025D" w:rsidRPr="003C6F28" w:rsidRDefault="00350D8B" w:rsidP="00D3025D">
      <w:pPr>
        <w:pStyle w:val="Akapitzlist"/>
        <w:numPr>
          <w:ilvl w:val="0"/>
          <w:numId w:val="1"/>
        </w:numPr>
        <w:rPr>
          <w:lang w:val="pl-PL"/>
        </w:rPr>
      </w:pPr>
      <w:r w:rsidRPr="003C6F28">
        <w:rPr>
          <w:lang w:val="pl-PL"/>
        </w:rPr>
        <w:t>A.</w:t>
      </w:r>
      <w:r w:rsidR="001A14EA" w:rsidRPr="003C6F28">
        <w:rPr>
          <w:lang w:val="pl-PL"/>
        </w:rPr>
        <w:t xml:space="preserve"> </w:t>
      </w:r>
      <w:r w:rsidR="00D3025D" w:rsidRPr="003C6F28">
        <w:rPr>
          <w:lang w:val="pl-PL"/>
        </w:rPr>
        <w:t>Boettcher,</w:t>
      </w:r>
      <w:r w:rsidR="00CF12BC" w:rsidRPr="003C6F28">
        <w:rPr>
          <w:lang w:val="pl-PL"/>
        </w:rPr>
        <w:t xml:space="preserve"> </w:t>
      </w:r>
      <w:r w:rsidR="00D3025D" w:rsidRPr="003C6F28">
        <w:rPr>
          <w:lang w:val="pl-PL"/>
        </w:rPr>
        <w:t>Analiza proces</w:t>
      </w:r>
      <w:r w:rsidR="00BB4FA8">
        <w:rPr>
          <w:lang w:val="pl-PL"/>
        </w:rPr>
        <w:t>o</w:t>
      </w:r>
      <w:r w:rsidR="00D3025D" w:rsidRPr="003C6F28">
        <w:rPr>
          <w:lang w:val="pl-PL"/>
        </w:rPr>
        <w:t>w neutronowo-fizycznych reaktora energetycznego EPR metod</w:t>
      </w:r>
      <w:r w:rsidR="00BA1F20">
        <w:rPr>
          <w:lang w:val="pl-PL"/>
        </w:rPr>
        <w:t>a</w:t>
      </w:r>
      <w:r w:rsidR="00D3025D" w:rsidRPr="003C6F28">
        <w:rPr>
          <w:lang w:val="pl-PL"/>
        </w:rPr>
        <w:t xml:space="preserve"> Monte Carlo,</w:t>
      </w:r>
      <w:r w:rsidR="007C38C2" w:rsidRPr="003C6F28">
        <w:rPr>
          <w:lang w:val="pl-PL"/>
        </w:rPr>
        <w:t xml:space="preserve"> </w:t>
      </w:r>
      <w:r w:rsidR="00886735" w:rsidRPr="003C6F28">
        <w:rPr>
          <w:lang w:val="pl-PL"/>
        </w:rPr>
        <w:t xml:space="preserve"> </w:t>
      </w:r>
      <w:r w:rsidR="007B7768" w:rsidRPr="003C6F28">
        <w:rPr>
          <w:lang w:val="pl-PL"/>
        </w:rPr>
        <w:t>a</w:t>
      </w:r>
      <w:r w:rsidR="00886735" w:rsidRPr="003C6F28">
        <w:rPr>
          <w:lang w:val="pl-PL"/>
        </w:rPr>
        <w:t>ppendix 1</w:t>
      </w:r>
      <w:r w:rsidR="00D3025D" w:rsidRPr="003C6F28">
        <w:rPr>
          <w:lang w:val="pl-PL"/>
        </w:rPr>
        <w:t xml:space="preserve"> </w:t>
      </w:r>
      <w:r w:rsidR="007C38C2" w:rsidRPr="003C6F28">
        <w:rPr>
          <w:lang w:val="pl-PL"/>
        </w:rPr>
        <w:t>,</w:t>
      </w:r>
      <w:r w:rsidR="00944C1A" w:rsidRPr="003C6F28">
        <w:rPr>
          <w:lang w:val="pl-PL"/>
        </w:rPr>
        <w:t xml:space="preserve"> </w:t>
      </w:r>
      <w:r w:rsidR="00D3025D" w:rsidRPr="003C6F28">
        <w:rPr>
          <w:lang w:val="pl-PL"/>
        </w:rPr>
        <w:t>Otwock-</w:t>
      </w:r>
      <w:r w:rsidR="00872D37">
        <w:rPr>
          <w:lang w:val="pl-PL"/>
        </w:rPr>
        <w:t>S</w:t>
      </w:r>
      <w:r w:rsidR="00D3025D" w:rsidRPr="003C6F28">
        <w:rPr>
          <w:lang w:val="pl-PL"/>
        </w:rPr>
        <w:t>wierk/Katowice</w:t>
      </w:r>
      <w:r w:rsidR="00E85D3F" w:rsidRPr="003C6F28">
        <w:rPr>
          <w:lang w:val="pl-PL"/>
        </w:rPr>
        <w:t xml:space="preserve"> </w:t>
      </w:r>
      <w:r w:rsidR="00D3025D" w:rsidRPr="003C6F28">
        <w:rPr>
          <w:lang w:val="pl-PL"/>
        </w:rPr>
        <w:t xml:space="preserve"> (2018).</w:t>
      </w:r>
    </w:p>
    <w:p w14:paraId="54BB5CCA" w14:textId="77777777" w:rsidR="00D3025D" w:rsidRPr="003C6F28" w:rsidRDefault="00D3025D" w:rsidP="00D3025D">
      <w:pPr>
        <w:rPr>
          <w:lang w:val="pl-PL"/>
        </w:rPr>
      </w:pPr>
    </w:p>
    <w:p w14:paraId="05C0FAB6" w14:textId="4B9F8C6F" w:rsidR="00325700" w:rsidRPr="003C6F28" w:rsidRDefault="000C4A90" w:rsidP="00325700">
      <w:pPr>
        <w:pStyle w:val="Akapitzlist"/>
        <w:numPr>
          <w:ilvl w:val="0"/>
          <w:numId w:val="1"/>
        </w:numPr>
      </w:pPr>
      <w:r w:rsidRPr="003C6F28">
        <w:t xml:space="preserve">P. </w:t>
      </w:r>
      <w:r w:rsidR="00325700" w:rsidRPr="003C6F28">
        <w:t xml:space="preserve">Darnowski, </w:t>
      </w:r>
      <w:r w:rsidR="00825744" w:rsidRPr="003C6F28">
        <w:t xml:space="preserve">P. </w:t>
      </w:r>
      <w:r w:rsidR="00325700" w:rsidRPr="003C6F28">
        <w:t>Ignaczak,</w:t>
      </w:r>
      <w:r w:rsidR="00CA1DF1" w:rsidRPr="003C6F28">
        <w:t xml:space="preserve"> P. </w:t>
      </w:r>
      <w:r w:rsidR="00325700" w:rsidRPr="003C6F28">
        <w:t>Obr</w:t>
      </w:r>
      <w:r w:rsidR="0092362C">
        <w:t>e</w:t>
      </w:r>
      <w:r w:rsidR="00325700" w:rsidRPr="003C6F28">
        <w:t xml:space="preserve">bski, </w:t>
      </w:r>
      <w:r w:rsidR="008F51EF" w:rsidRPr="003C6F28">
        <w:t xml:space="preserve">M. </w:t>
      </w:r>
      <w:r w:rsidR="00325700" w:rsidRPr="003C6F28">
        <w:t>St</w:t>
      </w:r>
      <w:r w:rsidR="0092362C">
        <w:t>e</w:t>
      </w:r>
      <w:r w:rsidR="00325700" w:rsidRPr="003C6F28">
        <w:t>pie</w:t>
      </w:r>
      <w:r w:rsidR="0092362C">
        <w:t>n</w:t>
      </w:r>
      <w:r w:rsidR="00325700" w:rsidRPr="003C6F28">
        <w:t xml:space="preserve">, </w:t>
      </w:r>
      <w:r w:rsidR="00367F5B" w:rsidRPr="003C6F28">
        <w:t xml:space="preserve">G. </w:t>
      </w:r>
      <w:r w:rsidR="00325700" w:rsidRPr="003C6F28">
        <w:t>Niewi</w:t>
      </w:r>
      <w:r w:rsidR="0092362C">
        <w:t>n</w:t>
      </w:r>
      <w:r w:rsidR="00325700" w:rsidRPr="003C6F28">
        <w:t>ski, “Simulations of the AP1000-Based Reactor Core</w:t>
      </w:r>
      <w:r w:rsidR="007B5BD1" w:rsidRPr="003C6F28">
        <w:t xml:space="preserve"> with SERPENT computer code</w:t>
      </w:r>
      <w:r w:rsidR="00325700" w:rsidRPr="003C6F28">
        <w:t>”,</w:t>
      </w:r>
      <w:r w:rsidR="00256FC1" w:rsidRPr="003C6F28">
        <w:t xml:space="preserve"> </w:t>
      </w:r>
      <w:r w:rsidR="004E5034" w:rsidRPr="003C6F28">
        <w:t xml:space="preserve">Archive of Mechanical Engineering, </w:t>
      </w:r>
      <w:r w:rsidR="00EF3E44" w:rsidRPr="003C6F28">
        <w:t xml:space="preserve">Vol. </w:t>
      </w:r>
      <w:r w:rsidR="00A01C40" w:rsidRPr="003C6F28">
        <w:t>65</w:t>
      </w:r>
      <w:r w:rsidR="0065207E" w:rsidRPr="003C6F28">
        <w:t xml:space="preserve"> No 3</w:t>
      </w:r>
      <w:r w:rsidR="00CE5BD9" w:rsidRPr="003C6F28">
        <w:t xml:space="preserve">, </w:t>
      </w:r>
      <w:r w:rsidR="001E02CB" w:rsidRPr="003C6F28">
        <w:t xml:space="preserve">p. </w:t>
      </w:r>
      <w:r w:rsidR="00392BE2" w:rsidRPr="003C6F28">
        <w:t>297-</w:t>
      </w:r>
      <w:r w:rsidR="00095BF9" w:rsidRPr="003C6F28">
        <w:t>311</w:t>
      </w:r>
      <w:r w:rsidR="0076430E" w:rsidRPr="003C6F28">
        <w:t>,</w:t>
      </w:r>
      <w:r w:rsidR="00E20FC6" w:rsidRPr="003C6F28">
        <w:t xml:space="preserve"> </w:t>
      </w:r>
      <w:r w:rsidR="0097015C" w:rsidRPr="003C6F28">
        <w:t>Polish Academy of Sciences, Committee on Machine Building</w:t>
      </w:r>
      <w:r w:rsidR="00AC4C9D" w:rsidRPr="003C6F28">
        <w:t xml:space="preserve">, </w:t>
      </w:r>
      <w:r w:rsidR="00325700" w:rsidRPr="003C6F28">
        <w:t>(2018).</w:t>
      </w:r>
    </w:p>
    <w:p w14:paraId="2722C061" w14:textId="77777777" w:rsidR="00F238D1" w:rsidRPr="003C6F28" w:rsidRDefault="00F238D1" w:rsidP="00F238D1"/>
    <w:p w14:paraId="2F748925" w14:textId="630B8AD5" w:rsidR="00DD4F6F" w:rsidRPr="003C6F28" w:rsidRDefault="00DD4F6F" w:rsidP="00DD4F6F">
      <w:pPr>
        <w:pStyle w:val="Akapitzlist"/>
        <w:numPr>
          <w:ilvl w:val="0"/>
          <w:numId w:val="1"/>
        </w:numPr>
      </w:pPr>
      <w:r w:rsidRPr="003C6F28">
        <w:t xml:space="preserve">Westinghouse Electric Company, </w:t>
      </w:r>
      <w:r w:rsidR="00A43557" w:rsidRPr="003C6F28">
        <w:t xml:space="preserve">Westinghouse </w:t>
      </w:r>
      <w:r w:rsidRPr="003C6F28">
        <w:t>AP1000 Design Control Document Rev. 19, Tier 2 Chapter 4,</w:t>
      </w:r>
      <w:r w:rsidR="00E949C6" w:rsidRPr="003C6F28">
        <w:t xml:space="preserve"> </w:t>
      </w:r>
      <w:r w:rsidR="005E48F3" w:rsidRPr="003C6F28">
        <w:t xml:space="preserve">United States Nuclear Regulatory Commission, </w:t>
      </w:r>
      <w:r w:rsidR="00083205" w:rsidRPr="003C6F28">
        <w:t xml:space="preserve">United States of America </w:t>
      </w:r>
      <w:r w:rsidRPr="003C6F28">
        <w:t>(2011).</w:t>
      </w:r>
    </w:p>
    <w:p w14:paraId="1CAE16C2" w14:textId="77777777" w:rsidR="0093240D" w:rsidRPr="003C6F28" w:rsidRDefault="0093240D" w:rsidP="0093240D"/>
    <w:p w14:paraId="0092573D" w14:textId="321E9149" w:rsidR="0093240D" w:rsidRPr="003C6F28" w:rsidRDefault="006C0CA4" w:rsidP="0093240D">
      <w:pPr>
        <w:pStyle w:val="Akapitzlist"/>
        <w:numPr>
          <w:ilvl w:val="0"/>
          <w:numId w:val="1"/>
        </w:numPr>
      </w:pPr>
      <w:r w:rsidRPr="003C6F28">
        <w:t xml:space="preserve">J. </w:t>
      </w:r>
      <w:r w:rsidR="0093240D" w:rsidRPr="003C6F28">
        <w:t>Sierchu</w:t>
      </w:r>
      <w:r w:rsidR="00801742">
        <w:t>l</w:t>
      </w:r>
      <w:r w:rsidR="0093240D" w:rsidRPr="003C6F28">
        <w:t xml:space="preserve">a, “Analysis of reactivity changes during the operation of a nuclear power plant”, </w:t>
      </w:r>
      <w:r w:rsidR="00D96A3F" w:rsidRPr="003C6F28">
        <w:t>2018 International Interdisciplinary PhD Workshop (IIPhDW),</w:t>
      </w:r>
      <w:r w:rsidR="00AF352E" w:rsidRPr="003C6F28">
        <w:t xml:space="preserve"> p. 61-66</w:t>
      </w:r>
      <w:r w:rsidR="0058100F" w:rsidRPr="003C6F28">
        <w:t>,</w:t>
      </w:r>
      <w:r w:rsidR="00D96A3F" w:rsidRPr="003C6F28">
        <w:t xml:space="preserve"> </w:t>
      </w:r>
      <w:r w:rsidR="00602E44" w:rsidRPr="003C6F28">
        <w:t xml:space="preserve">IEEE, </w:t>
      </w:r>
      <w:r w:rsidR="005760DA">
        <w:t>S</w:t>
      </w:r>
      <w:r w:rsidR="00DE200D" w:rsidRPr="003C6F28">
        <w:t>winouj</w:t>
      </w:r>
      <w:r w:rsidR="00163C80">
        <w:t>s</w:t>
      </w:r>
      <w:r w:rsidR="00DE200D" w:rsidRPr="003C6F28">
        <w:t>cie</w:t>
      </w:r>
      <w:r w:rsidR="007A7A47" w:rsidRPr="003C6F28">
        <w:t>,</w:t>
      </w:r>
      <w:r w:rsidR="005631B9" w:rsidRPr="003C6F28">
        <w:t xml:space="preserve"> </w:t>
      </w:r>
      <w:r w:rsidR="005E311B" w:rsidRPr="003C6F28">
        <w:t>Poland</w:t>
      </w:r>
      <w:r w:rsidR="007A7A47" w:rsidRPr="003C6F28">
        <w:t xml:space="preserve"> </w:t>
      </w:r>
      <w:r w:rsidR="0093240D" w:rsidRPr="003C6F28">
        <w:t>(2018).</w:t>
      </w:r>
    </w:p>
    <w:p w14:paraId="1B1AC424" w14:textId="77777777" w:rsidR="00940086" w:rsidRPr="003C6F28" w:rsidRDefault="00940086" w:rsidP="00940086">
      <w:pPr>
        <w:pStyle w:val="Akapitzlist"/>
      </w:pPr>
    </w:p>
    <w:p w14:paraId="3EA6A6EC" w14:textId="3BEC5145" w:rsidR="00584CDD" w:rsidRPr="003C6F28" w:rsidRDefault="00584CDD" w:rsidP="005C7D0D">
      <w:pPr>
        <w:pStyle w:val="Akapitzlist"/>
        <w:numPr>
          <w:ilvl w:val="0"/>
          <w:numId w:val="1"/>
        </w:numPr>
      </w:pPr>
      <w:r w:rsidRPr="003C6F28">
        <w:t>International Atomic Energy Agency, Management of Reprocessed</w:t>
      </w:r>
      <w:r w:rsidR="00835D5A" w:rsidRPr="003C6F28">
        <w:t xml:space="preserve"> </w:t>
      </w:r>
      <w:r w:rsidRPr="003C6F28">
        <w:t>Uranium,</w:t>
      </w:r>
      <w:r w:rsidR="00FD7F5E" w:rsidRPr="003C6F28">
        <w:t xml:space="preserve"> </w:t>
      </w:r>
      <w:r w:rsidR="006045F8" w:rsidRPr="003C6F28">
        <w:t>IAEA</w:t>
      </w:r>
      <w:r w:rsidR="00FD7F5E" w:rsidRPr="003C6F28">
        <w:t xml:space="preserve"> </w:t>
      </w:r>
      <w:r w:rsidR="00EE7A65" w:rsidRPr="003C6F28">
        <w:t>TEDOC No. 1529</w:t>
      </w:r>
      <w:r w:rsidRPr="003C6F28">
        <w:t>,</w:t>
      </w:r>
      <w:r w:rsidR="00E16B93" w:rsidRPr="003C6F28">
        <w:t xml:space="preserve"> </w:t>
      </w:r>
      <w:r w:rsidR="00BC680E" w:rsidRPr="003C6F28">
        <w:t>chapter 2</w:t>
      </w:r>
      <w:r w:rsidR="005C7D0D" w:rsidRPr="003C6F28">
        <w:t xml:space="preserve">, </w:t>
      </w:r>
      <w:r w:rsidR="00E16B93" w:rsidRPr="003C6F28">
        <w:t>IAEA,</w:t>
      </w:r>
      <w:r w:rsidR="00835D5A" w:rsidRPr="003C6F28">
        <w:t xml:space="preserve"> </w:t>
      </w:r>
      <w:r w:rsidRPr="003C6F28">
        <w:t>Vienna (</w:t>
      </w:r>
      <w:r w:rsidR="00E959B6" w:rsidRPr="003C6F28">
        <w:t>2007</w:t>
      </w:r>
      <w:r w:rsidRPr="003C6F28">
        <w:t xml:space="preserve">).  </w:t>
      </w:r>
    </w:p>
    <w:p w14:paraId="36133D13" w14:textId="77777777" w:rsidR="00940086" w:rsidRPr="003C6F28" w:rsidRDefault="00940086" w:rsidP="00584CDD">
      <w:pPr>
        <w:pStyle w:val="Akapitzlist"/>
        <w:ind w:left="360"/>
      </w:pPr>
    </w:p>
    <w:p w14:paraId="15148A14" w14:textId="77777777" w:rsidR="00DA09AC" w:rsidRPr="003C6F28" w:rsidRDefault="00DA09AC" w:rsidP="0080754E">
      <w:pPr>
        <w:pStyle w:val="Tekstpodstawowywcity"/>
        <w:ind w:left="360" w:firstLine="0"/>
      </w:pPr>
    </w:p>
    <w:sectPr w:rsidR="00DA09AC" w:rsidRPr="003C6F28" w:rsidSect="00D964A7">
      <w:footerReference w:type="default" r:id="rId24"/>
      <w:type w:val="continuous"/>
      <w:pgSz w:w="12240" w:h="15840"/>
      <w:pgMar w:top="1440" w:right="1080" w:bottom="1440" w:left="1080" w:header="432" w:footer="720" w:gutter="0"/>
      <w:cols w:num="2" w:space="540" w:equalWidth="0">
        <w:col w:w="4770" w:space="540"/>
        <w:col w:w="47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1CE6" w14:textId="77777777" w:rsidR="00123ADB" w:rsidRDefault="00123ADB">
      <w:r>
        <w:separator/>
      </w:r>
    </w:p>
  </w:endnote>
  <w:endnote w:type="continuationSeparator" w:id="0">
    <w:p w14:paraId="33482F9E" w14:textId="77777777" w:rsidR="00123ADB" w:rsidRDefault="0012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302966"/>
      <w:docPartObj>
        <w:docPartGallery w:val="Page Numbers (Bottom of Page)"/>
        <w:docPartUnique/>
      </w:docPartObj>
    </w:sdtPr>
    <w:sdtContent>
      <w:p w14:paraId="3529D3E5" w14:textId="63964E72" w:rsidR="00860A2D" w:rsidRDefault="00860A2D">
        <w:pPr>
          <w:pStyle w:val="Stopka"/>
          <w:jc w:val="right"/>
        </w:pPr>
        <w:r>
          <w:fldChar w:fldCharType="begin"/>
        </w:r>
        <w:r>
          <w:instrText>PAGE   \* MERGEFORMAT</w:instrText>
        </w:r>
        <w:r>
          <w:fldChar w:fldCharType="separate"/>
        </w:r>
        <w:r>
          <w:rPr>
            <w:lang w:val="pl-PL"/>
          </w:rPr>
          <w:t>2</w:t>
        </w:r>
        <w:r>
          <w:fldChar w:fldCharType="end"/>
        </w:r>
      </w:p>
    </w:sdtContent>
  </w:sdt>
  <w:p w14:paraId="74163B96" w14:textId="77777777" w:rsidR="00781B6A" w:rsidRDefault="00781B6A">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2AA7" w14:textId="77777777" w:rsidR="00781B6A" w:rsidRDefault="00781B6A">
    <w:pPr>
      <w:pStyle w:val="Stopk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2EBF" w14:textId="77777777" w:rsidR="00123ADB" w:rsidRDefault="00123ADB">
      <w:r>
        <w:separator/>
      </w:r>
    </w:p>
  </w:footnote>
  <w:footnote w:type="continuationSeparator" w:id="0">
    <w:p w14:paraId="37C3CFAE" w14:textId="77777777" w:rsidR="00123ADB" w:rsidRDefault="00123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8A31" w14:textId="61B622CC" w:rsidR="00310711" w:rsidRDefault="00E37DA7" w:rsidP="00310711">
    <w:pPr>
      <w:ind w:right="112"/>
      <w:rPr>
        <w:rFonts w:ascii="Calibri" w:hAnsi="Calibri" w:cs="Calibri"/>
        <w:spacing w:val="-4"/>
        <w:sz w:val="18"/>
        <w:szCs w:val="22"/>
      </w:rPr>
    </w:pPr>
    <w:r>
      <w:rPr>
        <w:rFonts w:ascii="Calibri" w:hAnsi="Calibri" w:cs="Calibri"/>
        <w:noProof/>
        <w:spacing w:val="-4"/>
        <w:sz w:val="18"/>
        <w:szCs w:val="22"/>
      </w:rPr>
      <w:drawing>
        <wp:anchor distT="0" distB="0" distL="114300" distR="114300" simplePos="0" relativeHeight="251658240" behindDoc="0" locked="0" layoutInCell="1" allowOverlap="1" wp14:anchorId="2361E2B9" wp14:editId="749BABF3">
          <wp:simplePos x="0" y="0"/>
          <wp:positionH relativeFrom="column">
            <wp:posOffset>0</wp:posOffset>
          </wp:positionH>
          <wp:positionV relativeFrom="paragraph">
            <wp:posOffset>0</wp:posOffset>
          </wp:positionV>
          <wp:extent cx="2956560" cy="53803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56560" cy="538037"/>
                  </a:xfrm>
                  <a:prstGeom prst="rect">
                    <a:avLst/>
                  </a:prstGeom>
                </pic:spPr>
              </pic:pic>
            </a:graphicData>
          </a:graphic>
        </wp:anchor>
      </w:drawing>
    </w:r>
    <w:r w:rsidR="00310711">
      <w:rPr>
        <w:rFonts w:ascii="Calibri" w:hAnsi="Calibri" w:cs="Calibri"/>
        <w:spacing w:val="-4"/>
        <w:sz w:val="18"/>
        <w:szCs w:val="22"/>
      </w:rPr>
      <w:t xml:space="preserve">                           </w:t>
    </w:r>
  </w:p>
  <w:p w14:paraId="0963291C" w14:textId="0E206B83" w:rsidR="001A7F8D" w:rsidRPr="000B12D5" w:rsidRDefault="00310711" w:rsidP="00310711">
    <w:pPr>
      <w:ind w:left="4320" w:right="112"/>
      <w:jc w:val="right"/>
      <w:rPr>
        <w:rFonts w:asciiTheme="majorBidi" w:hAnsiTheme="majorBidi" w:cstheme="majorBidi"/>
        <w:spacing w:val="-3"/>
        <w:sz w:val="18"/>
        <w:szCs w:val="22"/>
      </w:rPr>
    </w:pPr>
    <w:r>
      <w:rPr>
        <w:rFonts w:ascii="Calibri" w:hAnsi="Calibri" w:cs="Calibri"/>
        <w:spacing w:val="-4"/>
        <w:sz w:val="18"/>
        <w:szCs w:val="22"/>
      </w:rPr>
      <w:t xml:space="preserve">            </w:t>
    </w:r>
    <w:r w:rsidR="001A7F8D" w:rsidRPr="000B12D5">
      <w:rPr>
        <w:rFonts w:asciiTheme="majorBidi" w:hAnsiTheme="majorBidi" w:cstheme="majorBidi"/>
        <w:spacing w:val="-4"/>
        <w:sz w:val="18"/>
        <w:szCs w:val="22"/>
      </w:rPr>
      <w:t xml:space="preserve">Proceedings of </w:t>
    </w:r>
    <w:r w:rsidRPr="000B12D5">
      <w:rPr>
        <w:rFonts w:asciiTheme="majorBidi" w:hAnsiTheme="majorBidi" w:cstheme="majorBidi"/>
        <w:spacing w:val="-3"/>
        <w:sz w:val="18"/>
        <w:szCs w:val="22"/>
      </w:rPr>
      <w:t>SCOPE</w:t>
    </w:r>
  </w:p>
  <w:p w14:paraId="176AE24C" w14:textId="395135B4" w:rsidR="00781B6A" w:rsidRPr="000B12D5" w:rsidRDefault="00310711" w:rsidP="00310711">
    <w:pPr>
      <w:ind w:right="112"/>
      <w:jc w:val="right"/>
      <w:rPr>
        <w:rFonts w:asciiTheme="majorBidi" w:hAnsiTheme="majorBidi" w:cstheme="majorBidi"/>
        <w:sz w:val="18"/>
        <w:szCs w:val="22"/>
      </w:rPr>
    </w:pPr>
    <w:r w:rsidRPr="000B12D5">
      <w:rPr>
        <w:rFonts w:asciiTheme="majorBidi" w:hAnsiTheme="majorBidi" w:cstheme="majorBidi"/>
        <w:spacing w:val="-3"/>
        <w:sz w:val="18"/>
        <w:szCs w:val="22"/>
      </w:rPr>
      <w:t xml:space="preserve">                                                                    13-15</w:t>
    </w:r>
    <w:r w:rsidR="001A7F8D" w:rsidRPr="000B12D5">
      <w:rPr>
        <w:rFonts w:asciiTheme="majorBidi" w:hAnsiTheme="majorBidi" w:cstheme="majorBidi"/>
        <w:spacing w:val="-9"/>
        <w:sz w:val="18"/>
        <w:szCs w:val="22"/>
      </w:rPr>
      <w:t xml:space="preserve"> </w:t>
    </w:r>
    <w:r w:rsidRPr="000B12D5">
      <w:rPr>
        <w:rFonts w:asciiTheme="majorBidi" w:hAnsiTheme="majorBidi" w:cstheme="majorBidi"/>
        <w:spacing w:val="-9"/>
        <w:sz w:val="18"/>
        <w:szCs w:val="22"/>
      </w:rPr>
      <w:t>Nov.</w:t>
    </w:r>
    <w:r w:rsidR="001A7F8D" w:rsidRPr="000B12D5">
      <w:rPr>
        <w:rFonts w:asciiTheme="majorBidi" w:hAnsiTheme="majorBidi" w:cstheme="majorBidi"/>
        <w:spacing w:val="-6"/>
        <w:sz w:val="18"/>
        <w:szCs w:val="22"/>
      </w:rPr>
      <w:t xml:space="preserve"> </w:t>
    </w:r>
    <w:r w:rsidR="001A7F8D" w:rsidRPr="000B12D5">
      <w:rPr>
        <w:rFonts w:asciiTheme="majorBidi" w:hAnsiTheme="majorBidi" w:cstheme="majorBidi"/>
        <w:spacing w:val="-3"/>
        <w:sz w:val="18"/>
        <w:szCs w:val="22"/>
      </w:rPr>
      <w:t>2023</w:t>
    </w:r>
    <w:r w:rsidR="001A7F8D" w:rsidRPr="000B12D5">
      <w:rPr>
        <w:rFonts w:asciiTheme="majorBidi" w:hAnsiTheme="majorBidi" w:cstheme="majorBidi"/>
        <w:spacing w:val="-6"/>
        <w:sz w:val="18"/>
        <w:szCs w:val="22"/>
      </w:rPr>
      <w:t xml:space="preserve"> </w:t>
    </w:r>
    <w:r w:rsidR="001A7F8D" w:rsidRPr="000B12D5">
      <w:rPr>
        <w:rFonts w:asciiTheme="majorBidi" w:hAnsiTheme="majorBidi" w:cstheme="majorBidi"/>
        <w:spacing w:val="-3"/>
        <w:sz w:val="18"/>
        <w:szCs w:val="22"/>
      </w:rPr>
      <w:t>–</w:t>
    </w:r>
    <w:r w:rsidR="001A7F8D" w:rsidRPr="000B12D5">
      <w:rPr>
        <w:rFonts w:asciiTheme="majorBidi" w:hAnsiTheme="majorBidi" w:cstheme="majorBidi"/>
        <w:spacing w:val="-13"/>
        <w:sz w:val="18"/>
        <w:szCs w:val="22"/>
      </w:rPr>
      <w:t xml:space="preserve"> </w:t>
    </w:r>
    <w:r w:rsidRPr="000B12D5">
      <w:rPr>
        <w:rFonts w:asciiTheme="majorBidi" w:hAnsiTheme="majorBidi" w:cstheme="majorBidi"/>
        <w:sz w:val="18"/>
        <w:szCs w:val="22"/>
      </w:rPr>
      <w:t>KFUPM</w:t>
    </w:r>
  </w:p>
  <w:p w14:paraId="7B8603BE" w14:textId="68375B01" w:rsidR="00DE2928" w:rsidRPr="000B12D5" w:rsidRDefault="00DE2928" w:rsidP="00310711">
    <w:pPr>
      <w:ind w:right="112"/>
      <w:jc w:val="right"/>
      <w:rPr>
        <w:rFonts w:asciiTheme="majorBidi" w:hAnsiTheme="majorBidi" w:cstheme="majorBidi"/>
        <w:sz w:val="18"/>
        <w:szCs w:val="22"/>
      </w:rPr>
    </w:pPr>
    <w:r w:rsidRPr="000B12D5">
      <w:rPr>
        <w:rFonts w:asciiTheme="majorBidi" w:hAnsiTheme="majorBidi" w:cstheme="majorBidi"/>
        <w:sz w:val="18"/>
        <w:szCs w:val="22"/>
      </w:rPr>
      <w:t>Paper 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A1D06"/>
    <w:multiLevelType w:val="multilevel"/>
    <w:tmpl w:val="6C3EFD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4E5B47B7"/>
    <w:multiLevelType w:val="hybridMultilevel"/>
    <w:tmpl w:val="3F5C1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6B3F0E"/>
    <w:multiLevelType w:val="hybridMultilevel"/>
    <w:tmpl w:val="1EB43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30357526">
    <w:abstractNumId w:val="2"/>
  </w:num>
  <w:num w:numId="2" w16cid:durableId="1968393431">
    <w:abstractNumId w:val="1"/>
  </w:num>
  <w:num w:numId="3" w16cid:durableId="1650790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43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913B5D"/>
    <w:rsid w:val="00004EEC"/>
    <w:rsid w:val="00006595"/>
    <w:rsid w:val="00006CA1"/>
    <w:rsid w:val="00006D9C"/>
    <w:rsid w:val="0001225A"/>
    <w:rsid w:val="00012786"/>
    <w:rsid w:val="000163A2"/>
    <w:rsid w:val="00017183"/>
    <w:rsid w:val="000175EF"/>
    <w:rsid w:val="0002356C"/>
    <w:rsid w:val="00024034"/>
    <w:rsid w:val="0002643D"/>
    <w:rsid w:val="00026943"/>
    <w:rsid w:val="00032C19"/>
    <w:rsid w:val="00033433"/>
    <w:rsid w:val="00035569"/>
    <w:rsid w:val="000369E3"/>
    <w:rsid w:val="00037632"/>
    <w:rsid w:val="00041585"/>
    <w:rsid w:val="00041DE4"/>
    <w:rsid w:val="0004315E"/>
    <w:rsid w:val="0004373B"/>
    <w:rsid w:val="000458F6"/>
    <w:rsid w:val="00046141"/>
    <w:rsid w:val="00047523"/>
    <w:rsid w:val="00050B04"/>
    <w:rsid w:val="00051858"/>
    <w:rsid w:val="00052CFC"/>
    <w:rsid w:val="00055B61"/>
    <w:rsid w:val="00055F02"/>
    <w:rsid w:val="00055FEB"/>
    <w:rsid w:val="00056405"/>
    <w:rsid w:val="00056F70"/>
    <w:rsid w:val="00057448"/>
    <w:rsid w:val="00061E3A"/>
    <w:rsid w:val="00061EB9"/>
    <w:rsid w:val="00062453"/>
    <w:rsid w:val="00062D40"/>
    <w:rsid w:val="0006365D"/>
    <w:rsid w:val="00064160"/>
    <w:rsid w:val="00064E2D"/>
    <w:rsid w:val="00065204"/>
    <w:rsid w:val="00065AB0"/>
    <w:rsid w:val="00075DB7"/>
    <w:rsid w:val="00076EE6"/>
    <w:rsid w:val="00083205"/>
    <w:rsid w:val="000846E7"/>
    <w:rsid w:val="000850CF"/>
    <w:rsid w:val="0008708F"/>
    <w:rsid w:val="00094425"/>
    <w:rsid w:val="00095314"/>
    <w:rsid w:val="00095A8D"/>
    <w:rsid w:val="00095BF9"/>
    <w:rsid w:val="000A19E8"/>
    <w:rsid w:val="000A26CE"/>
    <w:rsid w:val="000A536C"/>
    <w:rsid w:val="000A536F"/>
    <w:rsid w:val="000A75E0"/>
    <w:rsid w:val="000B12D5"/>
    <w:rsid w:val="000B29AA"/>
    <w:rsid w:val="000B3083"/>
    <w:rsid w:val="000B3AF9"/>
    <w:rsid w:val="000B5ADA"/>
    <w:rsid w:val="000C0B72"/>
    <w:rsid w:val="000C10E2"/>
    <w:rsid w:val="000C1582"/>
    <w:rsid w:val="000C200E"/>
    <w:rsid w:val="000C2EE5"/>
    <w:rsid w:val="000C420A"/>
    <w:rsid w:val="000C47D8"/>
    <w:rsid w:val="000C4837"/>
    <w:rsid w:val="000C4A90"/>
    <w:rsid w:val="000C5A40"/>
    <w:rsid w:val="000C5C2E"/>
    <w:rsid w:val="000C686B"/>
    <w:rsid w:val="000C7D7A"/>
    <w:rsid w:val="000D46F5"/>
    <w:rsid w:val="000D4789"/>
    <w:rsid w:val="000D49A0"/>
    <w:rsid w:val="000D5358"/>
    <w:rsid w:val="000E6258"/>
    <w:rsid w:val="000F0136"/>
    <w:rsid w:val="000F3FE8"/>
    <w:rsid w:val="000F5697"/>
    <w:rsid w:val="000F6DBE"/>
    <w:rsid w:val="001008D2"/>
    <w:rsid w:val="00100D5D"/>
    <w:rsid w:val="00100FBA"/>
    <w:rsid w:val="001010D5"/>
    <w:rsid w:val="00103511"/>
    <w:rsid w:val="00107E92"/>
    <w:rsid w:val="00113EA5"/>
    <w:rsid w:val="00117D50"/>
    <w:rsid w:val="00117D7B"/>
    <w:rsid w:val="00120BCF"/>
    <w:rsid w:val="00122FA1"/>
    <w:rsid w:val="00123808"/>
    <w:rsid w:val="00123ADB"/>
    <w:rsid w:val="00124729"/>
    <w:rsid w:val="00127BAD"/>
    <w:rsid w:val="00130F68"/>
    <w:rsid w:val="001310BE"/>
    <w:rsid w:val="001312BA"/>
    <w:rsid w:val="00131422"/>
    <w:rsid w:val="00131893"/>
    <w:rsid w:val="00133018"/>
    <w:rsid w:val="00136502"/>
    <w:rsid w:val="00140A8B"/>
    <w:rsid w:val="0014160E"/>
    <w:rsid w:val="00141BFC"/>
    <w:rsid w:val="00142F77"/>
    <w:rsid w:val="001432EB"/>
    <w:rsid w:val="0014609C"/>
    <w:rsid w:val="00146BCD"/>
    <w:rsid w:val="00146D6B"/>
    <w:rsid w:val="0015058F"/>
    <w:rsid w:val="00150D2C"/>
    <w:rsid w:val="0015418B"/>
    <w:rsid w:val="00154BEA"/>
    <w:rsid w:val="001602BC"/>
    <w:rsid w:val="00160B6B"/>
    <w:rsid w:val="0016226A"/>
    <w:rsid w:val="00162337"/>
    <w:rsid w:val="00163C80"/>
    <w:rsid w:val="0016422E"/>
    <w:rsid w:val="00165D1B"/>
    <w:rsid w:val="00165D99"/>
    <w:rsid w:val="001666CF"/>
    <w:rsid w:val="001705B4"/>
    <w:rsid w:val="001769F1"/>
    <w:rsid w:val="001806D6"/>
    <w:rsid w:val="00182BEE"/>
    <w:rsid w:val="00190E05"/>
    <w:rsid w:val="0019134A"/>
    <w:rsid w:val="001921A6"/>
    <w:rsid w:val="001950F7"/>
    <w:rsid w:val="00197D3D"/>
    <w:rsid w:val="001A14EA"/>
    <w:rsid w:val="001A2268"/>
    <w:rsid w:val="001A3026"/>
    <w:rsid w:val="001A3643"/>
    <w:rsid w:val="001A36E8"/>
    <w:rsid w:val="001A7F8D"/>
    <w:rsid w:val="001B0F78"/>
    <w:rsid w:val="001B1C29"/>
    <w:rsid w:val="001B25D4"/>
    <w:rsid w:val="001B28AE"/>
    <w:rsid w:val="001B2D04"/>
    <w:rsid w:val="001B53F3"/>
    <w:rsid w:val="001B7D55"/>
    <w:rsid w:val="001C08F7"/>
    <w:rsid w:val="001C5342"/>
    <w:rsid w:val="001D050A"/>
    <w:rsid w:val="001D1B61"/>
    <w:rsid w:val="001D22FC"/>
    <w:rsid w:val="001D4E25"/>
    <w:rsid w:val="001E02CB"/>
    <w:rsid w:val="001E0FE8"/>
    <w:rsid w:val="001E44DE"/>
    <w:rsid w:val="001E5581"/>
    <w:rsid w:val="001E58BA"/>
    <w:rsid w:val="001F04AA"/>
    <w:rsid w:val="001F182C"/>
    <w:rsid w:val="001F3653"/>
    <w:rsid w:val="001F64BB"/>
    <w:rsid w:val="0020075E"/>
    <w:rsid w:val="00200E08"/>
    <w:rsid w:val="00201D92"/>
    <w:rsid w:val="0020249F"/>
    <w:rsid w:val="0020506B"/>
    <w:rsid w:val="0020599C"/>
    <w:rsid w:val="0021167E"/>
    <w:rsid w:val="0021176B"/>
    <w:rsid w:val="002156B1"/>
    <w:rsid w:val="00217B24"/>
    <w:rsid w:val="00221CC0"/>
    <w:rsid w:val="002228D2"/>
    <w:rsid w:val="00222AAB"/>
    <w:rsid w:val="00223010"/>
    <w:rsid w:val="00224D78"/>
    <w:rsid w:val="00230474"/>
    <w:rsid w:val="00230691"/>
    <w:rsid w:val="002317E3"/>
    <w:rsid w:val="00231F6E"/>
    <w:rsid w:val="00234828"/>
    <w:rsid w:val="00235F74"/>
    <w:rsid w:val="002361CC"/>
    <w:rsid w:val="00240349"/>
    <w:rsid w:val="0024245C"/>
    <w:rsid w:val="00243A24"/>
    <w:rsid w:val="002457E9"/>
    <w:rsid w:val="00246F9F"/>
    <w:rsid w:val="0024747D"/>
    <w:rsid w:val="00251BF7"/>
    <w:rsid w:val="002524EB"/>
    <w:rsid w:val="00254034"/>
    <w:rsid w:val="00254153"/>
    <w:rsid w:val="00254247"/>
    <w:rsid w:val="00254929"/>
    <w:rsid w:val="00256FC1"/>
    <w:rsid w:val="00260A88"/>
    <w:rsid w:val="00261414"/>
    <w:rsid w:val="002662B0"/>
    <w:rsid w:val="0026712E"/>
    <w:rsid w:val="00270202"/>
    <w:rsid w:val="00272090"/>
    <w:rsid w:val="002726E2"/>
    <w:rsid w:val="00274BFF"/>
    <w:rsid w:val="00276362"/>
    <w:rsid w:val="00280A98"/>
    <w:rsid w:val="002811C6"/>
    <w:rsid w:val="00282714"/>
    <w:rsid w:val="00282AF7"/>
    <w:rsid w:val="00283B9F"/>
    <w:rsid w:val="0028551D"/>
    <w:rsid w:val="0028558E"/>
    <w:rsid w:val="002877EA"/>
    <w:rsid w:val="002879A6"/>
    <w:rsid w:val="002913C5"/>
    <w:rsid w:val="002930C7"/>
    <w:rsid w:val="0029403B"/>
    <w:rsid w:val="00296C42"/>
    <w:rsid w:val="002A1713"/>
    <w:rsid w:val="002A34D4"/>
    <w:rsid w:val="002A4491"/>
    <w:rsid w:val="002A4D97"/>
    <w:rsid w:val="002A555E"/>
    <w:rsid w:val="002A71FC"/>
    <w:rsid w:val="002A7A91"/>
    <w:rsid w:val="002B047F"/>
    <w:rsid w:val="002B3EBC"/>
    <w:rsid w:val="002B6725"/>
    <w:rsid w:val="002B6E61"/>
    <w:rsid w:val="002B7EE1"/>
    <w:rsid w:val="002C362F"/>
    <w:rsid w:val="002C4029"/>
    <w:rsid w:val="002C4120"/>
    <w:rsid w:val="002C4EEF"/>
    <w:rsid w:val="002C5294"/>
    <w:rsid w:val="002C5DA3"/>
    <w:rsid w:val="002C63F7"/>
    <w:rsid w:val="002C7D7A"/>
    <w:rsid w:val="002D16AB"/>
    <w:rsid w:val="002D28D7"/>
    <w:rsid w:val="002D336D"/>
    <w:rsid w:val="002D3D75"/>
    <w:rsid w:val="002D5E6B"/>
    <w:rsid w:val="002D6A84"/>
    <w:rsid w:val="002D7FB5"/>
    <w:rsid w:val="002E1693"/>
    <w:rsid w:val="002E17FE"/>
    <w:rsid w:val="002E43A3"/>
    <w:rsid w:val="002E5767"/>
    <w:rsid w:val="002E5A84"/>
    <w:rsid w:val="002E5CF0"/>
    <w:rsid w:val="002E6EF2"/>
    <w:rsid w:val="002E72FF"/>
    <w:rsid w:val="002F06E3"/>
    <w:rsid w:val="002F35B7"/>
    <w:rsid w:val="002F61F8"/>
    <w:rsid w:val="00300569"/>
    <w:rsid w:val="00300C7E"/>
    <w:rsid w:val="003025FB"/>
    <w:rsid w:val="00303148"/>
    <w:rsid w:val="00303874"/>
    <w:rsid w:val="0030453C"/>
    <w:rsid w:val="0030662D"/>
    <w:rsid w:val="00307B26"/>
    <w:rsid w:val="00310711"/>
    <w:rsid w:val="0031099E"/>
    <w:rsid w:val="00312ABB"/>
    <w:rsid w:val="00313CCF"/>
    <w:rsid w:val="003203B8"/>
    <w:rsid w:val="0032072E"/>
    <w:rsid w:val="0032193E"/>
    <w:rsid w:val="0032286E"/>
    <w:rsid w:val="003242A6"/>
    <w:rsid w:val="00325700"/>
    <w:rsid w:val="00325C09"/>
    <w:rsid w:val="00325CA1"/>
    <w:rsid w:val="0033217A"/>
    <w:rsid w:val="00335EDF"/>
    <w:rsid w:val="00340826"/>
    <w:rsid w:val="00340AB9"/>
    <w:rsid w:val="00344B6C"/>
    <w:rsid w:val="00344E4F"/>
    <w:rsid w:val="00350D8B"/>
    <w:rsid w:val="00354A35"/>
    <w:rsid w:val="003557C5"/>
    <w:rsid w:val="00360414"/>
    <w:rsid w:val="00361645"/>
    <w:rsid w:val="003642A4"/>
    <w:rsid w:val="00365677"/>
    <w:rsid w:val="00367F5B"/>
    <w:rsid w:val="00371EB4"/>
    <w:rsid w:val="003732C1"/>
    <w:rsid w:val="00373AFC"/>
    <w:rsid w:val="0037455F"/>
    <w:rsid w:val="0037746D"/>
    <w:rsid w:val="00380B34"/>
    <w:rsid w:val="00383814"/>
    <w:rsid w:val="003857DC"/>
    <w:rsid w:val="00385F97"/>
    <w:rsid w:val="003915C7"/>
    <w:rsid w:val="00391C0E"/>
    <w:rsid w:val="00392BE2"/>
    <w:rsid w:val="0039504A"/>
    <w:rsid w:val="00395C5A"/>
    <w:rsid w:val="00397159"/>
    <w:rsid w:val="003A0596"/>
    <w:rsid w:val="003A199D"/>
    <w:rsid w:val="003A2CD3"/>
    <w:rsid w:val="003A30B7"/>
    <w:rsid w:val="003A4B0E"/>
    <w:rsid w:val="003A6BBB"/>
    <w:rsid w:val="003A7685"/>
    <w:rsid w:val="003A7891"/>
    <w:rsid w:val="003B0222"/>
    <w:rsid w:val="003B41D9"/>
    <w:rsid w:val="003B7EF9"/>
    <w:rsid w:val="003C0A8A"/>
    <w:rsid w:val="003C1E59"/>
    <w:rsid w:val="003C2393"/>
    <w:rsid w:val="003C6F28"/>
    <w:rsid w:val="003E057A"/>
    <w:rsid w:val="003E44AE"/>
    <w:rsid w:val="003E64FC"/>
    <w:rsid w:val="003E77A0"/>
    <w:rsid w:val="003E7E90"/>
    <w:rsid w:val="003F18E4"/>
    <w:rsid w:val="003F5C36"/>
    <w:rsid w:val="003F710D"/>
    <w:rsid w:val="0040157D"/>
    <w:rsid w:val="00402ECF"/>
    <w:rsid w:val="00404E60"/>
    <w:rsid w:val="004108C8"/>
    <w:rsid w:val="0041091C"/>
    <w:rsid w:val="0041159A"/>
    <w:rsid w:val="00412C87"/>
    <w:rsid w:val="0041578B"/>
    <w:rsid w:val="004162E2"/>
    <w:rsid w:val="00416559"/>
    <w:rsid w:val="00421C66"/>
    <w:rsid w:val="00422ACA"/>
    <w:rsid w:val="00425311"/>
    <w:rsid w:val="0042716B"/>
    <w:rsid w:val="004303D3"/>
    <w:rsid w:val="004310CA"/>
    <w:rsid w:val="0043300C"/>
    <w:rsid w:val="004358EF"/>
    <w:rsid w:val="00437294"/>
    <w:rsid w:val="00441D1F"/>
    <w:rsid w:val="00442129"/>
    <w:rsid w:val="0044290D"/>
    <w:rsid w:val="00445005"/>
    <w:rsid w:val="0044612D"/>
    <w:rsid w:val="00446C88"/>
    <w:rsid w:val="00455D41"/>
    <w:rsid w:val="00456DF0"/>
    <w:rsid w:val="00457AD9"/>
    <w:rsid w:val="00464044"/>
    <w:rsid w:val="00464091"/>
    <w:rsid w:val="00464E36"/>
    <w:rsid w:val="00465103"/>
    <w:rsid w:val="00465660"/>
    <w:rsid w:val="004657D1"/>
    <w:rsid w:val="00473638"/>
    <w:rsid w:val="00473B8F"/>
    <w:rsid w:val="00474343"/>
    <w:rsid w:val="004746E8"/>
    <w:rsid w:val="00475F83"/>
    <w:rsid w:val="00476E39"/>
    <w:rsid w:val="0048009A"/>
    <w:rsid w:val="00481015"/>
    <w:rsid w:val="00482105"/>
    <w:rsid w:val="00482D0F"/>
    <w:rsid w:val="00484DC3"/>
    <w:rsid w:val="00486000"/>
    <w:rsid w:val="004865E2"/>
    <w:rsid w:val="00487E82"/>
    <w:rsid w:val="00487F59"/>
    <w:rsid w:val="004914F2"/>
    <w:rsid w:val="0049434E"/>
    <w:rsid w:val="00497886"/>
    <w:rsid w:val="004A0226"/>
    <w:rsid w:val="004B1E5D"/>
    <w:rsid w:val="004B46C2"/>
    <w:rsid w:val="004B5326"/>
    <w:rsid w:val="004C339C"/>
    <w:rsid w:val="004D3E4D"/>
    <w:rsid w:val="004D4851"/>
    <w:rsid w:val="004D4B1D"/>
    <w:rsid w:val="004E073D"/>
    <w:rsid w:val="004E2EFD"/>
    <w:rsid w:val="004E2F69"/>
    <w:rsid w:val="004E5034"/>
    <w:rsid w:val="004E5928"/>
    <w:rsid w:val="004E5ABB"/>
    <w:rsid w:val="004E6FD9"/>
    <w:rsid w:val="004E76F6"/>
    <w:rsid w:val="004E7869"/>
    <w:rsid w:val="004F2E70"/>
    <w:rsid w:val="004F4226"/>
    <w:rsid w:val="004F47AA"/>
    <w:rsid w:val="004F4E0D"/>
    <w:rsid w:val="004F57D9"/>
    <w:rsid w:val="004F5B50"/>
    <w:rsid w:val="004F75DF"/>
    <w:rsid w:val="004F7CFA"/>
    <w:rsid w:val="00501FF7"/>
    <w:rsid w:val="00503052"/>
    <w:rsid w:val="00512CD1"/>
    <w:rsid w:val="00514AC8"/>
    <w:rsid w:val="0051530E"/>
    <w:rsid w:val="00516F01"/>
    <w:rsid w:val="00517818"/>
    <w:rsid w:val="0052031D"/>
    <w:rsid w:val="005206C4"/>
    <w:rsid w:val="00520EAD"/>
    <w:rsid w:val="00521CE2"/>
    <w:rsid w:val="00522B93"/>
    <w:rsid w:val="00524F31"/>
    <w:rsid w:val="00530085"/>
    <w:rsid w:val="005404BD"/>
    <w:rsid w:val="0054079A"/>
    <w:rsid w:val="00542DC3"/>
    <w:rsid w:val="005430CA"/>
    <w:rsid w:val="005442BC"/>
    <w:rsid w:val="00544FEE"/>
    <w:rsid w:val="00545426"/>
    <w:rsid w:val="00546E88"/>
    <w:rsid w:val="0054772F"/>
    <w:rsid w:val="00547F17"/>
    <w:rsid w:val="0055008F"/>
    <w:rsid w:val="00551438"/>
    <w:rsid w:val="00555521"/>
    <w:rsid w:val="005564A6"/>
    <w:rsid w:val="00561258"/>
    <w:rsid w:val="005631B9"/>
    <w:rsid w:val="00565436"/>
    <w:rsid w:val="0056583D"/>
    <w:rsid w:val="005713EF"/>
    <w:rsid w:val="005760DA"/>
    <w:rsid w:val="00580248"/>
    <w:rsid w:val="0058100F"/>
    <w:rsid w:val="00584CDD"/>
    <w:rsid w:val="005861F1"/>
    <w:rsid w:val="00586264"/>
    <w:rsid w:val="005866A2"/>
    <w:rsid w:val="00587321"/>
    <w:rsid w:val="00590AA6"/>
    <w:rsid w:val="0059413A"/>
    <w:rsid w:val="00597468"/>
    <w:rsid w:val="005A1C5A"/>
    <w:rsid w:val="005A376F"/>
    <w:rsid w:val="005A4E3A"/>
    <w:rsid w:val="005B29A7"/>
    <w:rsid w:val="005B2FF6"/>
    <w:rsid w:val="005B3916"/>
    <w:rsid w:val="005B4952"/>
    <w:rsid w:val="005B504D"/>
    <w:rsid w:val="005C179E"/>
    <w:rsid w:val="005C1BE2"/>
    <w:rsid w:val="005C2C2B"/>
    <w:rsid w:val="005C397F"/>
    <w:rsid w:val="005C7840"/>
    <w:rsid w:val="005C7D0D"/>
    <w:rsid w:val="005D0BC4"/>
    <w:rsid w:val="005D15B0"/>
    <w:rsid w:val="005D1A9E"/>
    <w:rsid w:val="005D2BF4"/>
    <w:rsid w:val="005D31CA"/>
    <w:rsid w:val="005D37E8"/>
    <w:rsid w:val="005D4BF2"/>
    <w:rsid w:val="005D7890"/>
    <w:rsid w:val="005E0C34"/>
    <w:rsid w:val="005E3113"/>
    <w:rsid w:val="005E311B"/>
    <w:rsid w:val="005E43FA"/>
    <w:rsid w:val="005E48F3"/>
    <w:rsid w:val="005E5632"/>
    <w:rsid w:val="005F2F11"/>
    <w:rsid w:val="005F425F"/>
    <w:rsid w:val="005F4D7F"/>
    <w:rsid w:val="005F6349"/>
    <w:rsid w:val="005F7278"/>
    <w:rsid w:val="00601382"/>
    <w:rsid w:val="00602A87"/>
    <w:rsid w:val="00602E44"/>
    <w:rsid w:val="00603B4C"/>
    <w:rsid w:val="006045F8"/>
    <w:rsid w:val="00607E1C"/>
    <w:rsid w:val="006112BA"/>
    <w:rsid w:val="00611B12"/>
    <w:rsid w:val="00611DF5"/>
    <w:rsid w:val="00612434"/>
    <w:rsid w:val="00613B7C"/>
    <w:rsid w:val="00613BAB"/>
    <w:rsid w:val="006143A4"/>
    <w:rsid w:val="00616BA1"/>
    <w:rsid w:val="006227F1"/>
    <w:rsid w:val="0062280A"/>
    <w:rsid w:val="00623196"/>
    <w:rsid w:val="00624F4B"/>
    <w:rsid w:val="00626278"/>
    <w:rsid w:val="00630ABA"/>
    <w:rsid w:val="006360D9"/>
    <w:rsid w:val="006363DE"/>
    <w:rsid w:val="00636B4D"/>
    <w:rsid w:val="006434CB"/>
    <w:rsid w:val="00643E8D"/>
    <w:rsid w:val="006452ED"/>
    <w:rsid w:val="0065207E"/>
    <w:rsid w:val="00653552"/>
    <w:rsid w:val="00657558"/>
    <w:rsid w:val="006672D0"/>
    <w:rsid w:val="0067333C"/>
    <w:rsid w:val="00673635"/>
    <w:rsid w:val="00677476"/>
    <w:rsid w:val="006775A3"/>
    <w:rsid w:val="006809EF"/>
    <w:rsid w:val="006833D2"/>
    <w:rsid w:val="00690608"/>
    <w:rsid w:val="006916E9"/>
    <w:rsid w:val="006948D8"/>
    <w:rsid w:val="006A4441"/>
    <w:rsid w:val="006A4E21"/>
    <w:rsid w:val="006A6CF1"/>
    <w:rsid w:val="006A7361"/>
    <w:rsid w:val="006B01A7"/>
    <w:rsid w:val="006B1241"/>
    <w:rsid w:val="006B1D33"/>
    <w:rsid w:val="006B292F"/>
    <w:rsid w:val="006B2EEF"/>
    <w:rsid w:val="006C0CA4"/>
    <w:rsid w:val="006C1572"/>
    <w:rsid w:val="006C1F5A"/>
    <w:rsid w:val="006C2F31"/>
    <w:rsid w:val="006C3D50"/>
    <w:rsid w:val="006D04B0"/>
    <w:rsid w:val="006D0907"/>
    <w:rsid w:val="006D2668"/>
    <w:rsid w:val="006D2CD2"/>
    <w:rsid w:val="006D4345"/>
    <w:rsid w:val="006D4A63"/>
    <w:rsid w:val="006D66E3"/>
    <w:rsid w:val="006D74C6"/>
    <w:rsid w:val="006E081E"/>
    <w:rsid w:val="006E0D76"/>
    <w:rsid w:val="006E1F87"/>
    <w:rsid w:val="006E2E39"/>
    <w:rsid w:val="006E418A"/>
    <w:rsid w:val="006E7E9F"/>
    <w:rsid w:val="006F490D"/>
    <w:rsid w:val="0071019B"/>
    <w:rsid w:val="00710913"/>
    <w:rsid w:val="00715B23"/>
    <w:rsid w:val="007201CD"/>
    <w:rsid w:val="00720798"/>
    <w:rsid w:val="007219E7"/>
    <w:rsid w:val="0072243C"/>
    <w:rsid w:val="0072358D"/>
    <w:rsid w:val="00724C6F"/>
    <w:rsid w:val="0072760F"/>
    <w:rsid w:val="00731E10"/>
    <w:rsid w:val="007342B2"/>
    <w:rsid w:val="0073557C"/>
    <w:rsid w:val="00735C69"/>
    <w:rsid w:val="007456BC"/>
    <w:rsid w:val="0074740F"/>
    <w:rsid w:val="00750950"/>
    <w:rsid w:val="00750CE6"/>
    <w:rsid w:val="007517DA"/>
    <w:rsid w:val="00754F7B"/>
    <w:rsid w:val="00757C78"/>
    <w:rsid w:val="007611BF"/>
    <w:rsid w:val="007639A4"/>
    <w:rsid w:val="007639DA"/>
    <w:rsid w:val="00763A97"/>
    <w:rsid w:val="007642A2"/>
    <w:rsid w:val="0076430E"/>
    <w:rsid w:val="007646FB"/>
    <w:rsid w:val="007653AC"/>
    <w:rsid w:val="00766957"/>
    <w:rsid w:val="00767E71"/>
    <w:rsid w:val="00775574"/>
    <w:rsid w:val="00775E48"/>
    <w:rsid w:val="00781B6A"/>
    <w:rsid w:val="00781E66"/>
    <w:rsid w:val="0078232A"/>
    <w:rsid w:val="00782900"/>
    <w:rsid w:val="00783272"/>
    <w:rsid w:val="0078474A"/>
    <w:rsid w:val="00790E2A"/>
    <w:rsid w:val="007920F0"/>
    <w:rsid w:val="007938B3"/>
    <w:rsid w:val="007938E0"/>
    <w:rsid w:val="00795C9A"/>
    <w:rsid w:val="007A09CB"/>
    <w:rsid w:val="007A0B6D"/>
    <w:rsid w:val="007A3B2E"/>
    <w:rsid w:val="007A5A01"/>
    <w:rsid w:val="007A774C"/>
    <w:rsid w:val="007A7A47"/>
    <w:rsid w:val="007B07C3"/>
    <w:rsid w:val="007B0A22"/>
    <w:rsid w:val="007B1361"/>
    <w:rsid w:val="007B3D5E"/>
    <w:rsid w:val="007B5BD1"/>
    <w:rsid w:val="007B69B6"/>
    <w:rsid w:val="007B7768"/>
    <w:rsid w:val="007B7C44"/>
    <w:rsid w:val="007C01DB"/>
    <w:rsid w:val="007C35FA"/>
    <w:rsid w:val="007C38C2"/>
    <w:rsid w:val="007C7D5D"/>
    <w:rsid w:val="007D0B92"/>
    <w:rsid w:val="007D1A5C"/>
    <w:rsid w:val="007D280A"/>
    <w:rsid w:val="007D6320"/>
    <w:rsid w:val="007E33F2"/>
    <w:rsid w:val="007E4016"/>
    <w:rsid w:val="007E5DDD"/>
    <w:rsid w:val="007F1A3A"/>
    <w:rsid w:val="007F4D76"/>
    <w:rsid w:val="007F5106"/>
    <w:rsid w:val="007F721E"/>
    <w:rsid w:val="007F7AA2"/>
    <w:rsid w:val="008016A0"/>
    <w:rsid w:val="00801742"/>
    <w:rsid w:val="008021AA"/>
    <w:rsid w:val="00806B3F"/>
    <w:rsid w:val="00806DFC"/>
    <w:rsid w:val="0080754E"/>
    <w:rsid w:val="008126DA"/>
    <w:rsid w:val="00813531"/>
    <w:rsid w:val="00823A94"/>
    <w:rsid w:val="00825096"/>
    <w:rsid w:val="008252EB"/>
    <w:rsid w:val="008256CA"/>
    <w:rsid w:val="00825744"/>
    <w:rsid w:val="00826076"/>
    <w:rsid w:val="00827115"/>
    <w:rsid w:val="00832C5C"/>
    <w:rsid w:val="00834C24"/>
    <w:rsid w:val="00835D5A"/>
    <w:rsid w:val="008402BB"/>
    <w:rsid w:val="0084140A"/>
    <w:rsid w:val="008440DA"/>
    <w:rsid w:val="00847426"/>
    <w:rsid w:val="00847E8B"/>
    <w:rsid w:val="00852453"/>
    <w:rsid w:val="00856B6B"/>
    <w:rsid w:val="00857820"/>
    <w:rsid w:val="00860A2D"/>
    <w:rsid w:val="00862ACB"/>
    <w:rsid w:val="00867316"/>
    <w:rsid w:val="00867736"/>
    <w:rsid w:val="00871F3E"/>
    <w:rsid w:val="00872D37"/>
    <w:rsid w:val="008732A0"/>
    <w:rsid w:val="00876DB2"/>
    <w:rsid w:val="00877628"/>
    <w:rsid w:val="00877D25"/>
    <w:rsid w:val="00881510"/>
    <w:rsid w:val="00882D5D"/>
    <w:rsid w:val="00886356"/>
    <w:rsid w:val="00886735"/>
    <w:rsid w:val="00887935"/>
    <w:rsid w:val="008901CC"/>
    <w:rsid w:val="00890B80"/>
    <w:rsid w:val="00891C89"/>
    <w:rsid w:val="008932B5"/>
    <w:rsid w:val="00896D45"/>
    <w:rsid w:val="008A2D5A"/>
    <w:rsid w:val="008A5028"/>
    <w:rsid w:val="008B2EA2"/>
    <w:rsid w:val="008B4112"/>
    <w:rsid w:val="008B4395"/>
    <w:rsid w:val="008B43E9"/>
    <w:rsid w:val="008B4CDE"/>
    <w:rsid w:val="008B4E12"/>
    <w:rsid w:val="008B6A12"/>
    <w:rsid w:val="008B74A4"/>
    <w:rsid w:val="008C1455"/>
    <w:rsid w:val="008C20D1"/>
    <w:rsid w:val="008C4DA0"/>
    <w:rsid w:val="008C5014"/>
    <w:rsid w:val="008D1FFA"/>
    <w:rsid w:val="008D4376"/>
    <w:rsid w:val="008E02AE"/>
    <w:rsid w:val="008E0EC3"/>
    <w:rsid w:val="008E1BE2"/>
    <w:rsid w:val="008E1D69"/>
    <w:rsid w:val="008E3E0A"/>
    <w:rsid w:val="008E5293"/>
    <w:rsid w:val="008F0F96"/>
    <w:rsid w:val="008F0F9F"/>
    <w:rsid w:val="008F2414"/>
    <w:rsid w:val="008F3A75"/>
    <w:rsid w:val="008F4A13"/>
    <w:rsid w:val="008F4BE8"/>
    <w:rsid w:val="008F51EF"/>
    <w:rsid w:val="008F7AEF"/>
    <w:rsid w:val="009033C1"/>
    <w:rsid w:val="009038C3"/>
    <w:rsid w:val="009052E2"/>
    <w:rsid w:val="00910FB5"/>
    <w:rsid w:val="009137BC"/>
    <w:rsid w:val="00913B5D"/>
    <w:rsid w:val="00913DDE"/>
    <w:rsid w:val="0091543E"/>
    <w:rsid w:val="009169F0"/>
    <w:rsid w:val="00917C19"/>
    <w:rsid w:val="00920355"/>
    <w:rsid w:val="00921F20"/>
    <w:rsid w:val="0092258A"/>
    <w:rsid w:val="009225C0"/>
    <w:rsid w:val="00923130"/>
    <w:rsid w:val="0092362C"/>
    <w:rsid w:val="00923E45"/>
    <w:rsid w:val="00923F95"/>
    <w:rsid w:val="00926C9F"/>
    <w:rsid w:val="00930301"/>
    <w:rsid w:val="00932360"/>
    <w:rsid w:val="0093240D"/>
    <w:rsid w:val="00932CDC"/>
    <w:rsid w:val="00940086"/>
    <w:rsid w:val="00943805"/>
    <w:rsid w:val="00944C1A"/>
    <w:rsid w:val="0094787B"/>
    <w:rsid w:val="009512C8"/>
    <w:rsid w:val="009519F4"/>
    <w:rsid w:val="00951D0F"/>
    <w:rsid w:val="0095264A"/>
    <w:rsid w:val="00954B8D"/>
    <w:rsid w:val="00954FD9"/>
    <w:rsid w:val="00956695"/>
    <w:rsid w:val="009569CC"/>
    <w:rsid w:val="00956ABE"/>
    <w:rsid w:val="00957348"/>
    <w:rsid w:val="00960DAE"/>
    <w:rsid w:val="00961716"/>
    <w:rsid w:val="00961E12"/>
    <w:rsid w:val="0097015C"/>
    <w:rsid w:val="00972D2D"/>
    <w:rsid w:val="00973E88"/>
    <w:rsid w:val="009752E2"/>
    <w:rsid w:val="00976265"/>
    <w:rsid w:val="009846B7"/>
    <w:rsid w:val="00984C0A"/>
    <w:rsid w:val="00991EF8"/>
    <w:rsid w:val="00995B48"/>
    <w:rsid w:val="00996EB9"/>
    <w:rsid w:val="009A2354"/>
    <w:rsid w:val="009A3E38"/>
    <w:rsid w:val="009B071A"/>
    <w:rsid w:val="009B452B"/>
    <w:rsid w:val="009B4C08"/>
    <w:rsid w:val="009C0A9D"/>
    <w:rsid w:val="009C38D3"/>
    <w:rsid w:val="009C550F"/>
    <w:rsid w:val="009C580C"/>
    <w:rsid w:val="009C691C"/>
    <w:rsid w:val="009D0A2D"/>
    <w:rsid w:val="009D254D"/>
    <w:rsid w:val="009D50C2"/>
    <w:rsid w:val="009D774C"/>
    <w:rsid w:val="009D7D38"/>
    <w:rsid w:val="009E1229"/>
    <w:rsid w:val="009E3447"/>
    <w:rsid w:val="009E3A90"/>
    <w:rsid w:val="009E3CF8"/>
    <w:rsid w:val="009E41E1"/>
    <w:rsid w:val="009E5024"/>
    <w:rsid w:val="009F16EC"/>
    <w:rsid w:val="009F3AB8"/>
    <w:rsid w:val="009F4FEB"/>
    <w:rsid w:val="009F61FF"/>
    <w:rsid w:val="009F656B"/>
    <w:rsid w:val="00A0023C"/>
    <w:rsid w:val="00A01C40"/>
    <w:rsid w:val="00A03C8F"/>
    <w:rsid w:val="00A0476B"/>
    <w:rsid w:val="00A066E6"/>
    <w:rsid w:val="00A1179B"/>
    <w:rsid w:val="00A1391E"/>
    <w:rsid w:val="00A140EA"/>
    <w:rsid w:val="00A227B1"/>
    <w:rsid w:val="00A251F2"/>
    <w:rsid w:val="00A266AB"/>
    <w:rsid w:val="00A27716"/>
    <w:rsid w:val="00A3000E"/>
    <w:rsid w:val="00A322DA"/>
    <w:rsid w:val="00A32C0C"/>
    <w:rsid w:val="00A32CAA"/>
    <w:rsid w:val="00A32E04"/>
    <w:rsid w:val="00A371FD"/>
    <w:rsid w:val="00A40847"/>
    <w:rsid w:val="00A42C93"/>
    <w:rsid w:val="00A43019"/>
    <w:rsid w:val="00A43557"/>
    <w:rsid w:val="00A45828"/>
    <w:rsid w:val="00A4619D"/>
    <w:rsid w:val="00A47FE2"/>
    <w:rsid w:val="00A520BE"/>
    <w:rsid w:val="00A54BC9"/>
    <w:rsid w:val="00A54F81"/>
    <w:rsid w:val="00A57B02"/>
    <w:rsid w:val="00A6004B"/>
    <w:rsid w:val="00A61A13"/>
    <w:rsid w:val="00A643C1"/>
    <w:rsid w:val="00A67B2C"/>
    <w:rsid w:val="00A72842"/>
    <w:rsid w:val="00A72F18"/>
    <w:rsid w:val="00A73779"/>
    <w:rsid w:val="00A757B2"/>
    <w:rsid w:val="00A76567"/>
    <w:rsid w:val="00A767A5"/>
    <w:rsid w:val="00A81BC1"/>
    <w:rsid w:val="00A83E6C"/>
    <w:rsid w:val="00A8547E"/>
    <w:rsid w:val="00A86773"/>
    <w:rsid w:val="00A8729C"/>
    <w:rsid w:val="00A87A7D"/>
    <w:rsid w:val="00A90F05"/>
    <w:rsid w:val="00A91E6C"/>
    <w:rsid w:val="00A91E8F"/>
    <w:rsid w:val="00A946DC"/>
    <w:rsid w:val="00A9567D"/>
    <w:rsid w:val="00A96250"/>
    <w:rsid w:val="00A96A81"/>
    <w:rsid w:val="00AA0EDD"/>
    <w:rsid w:val="00AA2097"/>
    <w:rsid w:val="00AA4BBE"/>
    <w:rsid w:val="00AB041E"/>
    <w:rsid w:val="00AB2AA2"/>
    <w:rsid w:val="00AB6E26"/>
    <w:rsid w:val="00AB6F68"/>
    <w:rsid w:val="00AB7A59"/>
    <w:rsid w:val="00AB7C26"/>
    <w:rsid w:val="00AC05D2"/>
    <w:rsid w:val="00AC103E"/>
    <w:rsid w:val="00AC20B7"/>
    <w:rsid w:val="00AC4375"/>
    <w:rsid w:val="00AC44DF"/>
    <w:rsid w:val="00AC4C9D"/>
    <w:rsid w:val="00AC72ED"/>
    <w:rsid w:val="00AD2967"/>
    <w:rsid w:val="00AD3151"/>
    <w:rsid w:val="00AD4ACB"/>
    <w:rsid w:val="00AD5465"/>
    <w:rsid w:val="00AD627B"/>
    <w:rsid w:val="00AD6357"/>
    <w:rsid w:val="00AD7EB7"/>
    <w:rsid w:val="00AE00FF"/>
    <w:rsid w:val="00AE06C5"/>
    <w:rsid w:val="00AE257D"/>
    <w:rsid w:val="00AE2B8F"/>
    <w:rsid w:val="00AE4CD9"/>
    <w:rsid w:val="00AF352E"/>
    <w:rsid w:val="00AF6475"/>
    <w:rsid w:val="00AF7008"/>
    <w:rsid w:val="00AF794D"/>
    <w:rsid w:val="00B029D3"/>
    <w:rsid w:val="00B11F26"/>
    <w:rsid w:val="00B15A22"/>
    <w:rsid w:val="00B177D5"/>
    <w:rsid w:val="00B17E80"/>
    <w:rsid w:val="00B22151"/>
    <w:rsid w:val="00B22AEB"/>
    <w:rsid w:val="00B24BE7"/>
    <w:rsid w:val="00B25B48"/>
    <w:rsid w:val="00B311E0"/>
    <w:rsid w:val="00B320C4"/>
    <w:rsid w:val="00B32635"/>
    <w:rsid w:val="00B3545E"/>
    <w:rsid w:val="00B35CAF"/>
    <w:rsid w:val="00B35D7A"/>
    <w:rsid w:val="00B37EA1"/>
    <w:rsid w:val="00B40882"/>
    <w:rsid w:val="00B40F1A"/>
    <w:rsid w:val="00B413BE"/>
    <w:rsid w:val="00B4151A"/>
    <w:rsid w:val="00B464F2"/>
    <w:rsid w:val="00B4753B"/>
    <w:rsid w:val="00B47EF3"/>
    <w:rsid w:val="00B5244F"/>
    <w:rsid w:val="00B5268F"/>
    <w:rsid w:val="00B53545"/>
    <w:rsid w:val="00B55BBC"/>
    <w:rsid w:val="00B55C17"/>
    <w:rsid w:val="00B5647F"/>
    <w:rsid w:val="00B56DB7"/>
    <w:rsid w:val="00B57B18"/>
    <w:rsid w:val="00B607D5"/>
    <w:rsid w:val="00B607FF"/>
    <w:rsid w:val="00B651D8"/>
    <w:rsid w:val="00B6567E"/>
    <w:rsid w:val="00B65CE5"/>
    <w:rsid w:val="00B713CC"/>
    <w:rsid w:val="00B73E28"/>
    <w:rsid w:val="00B74573"/>
    <w:rsid w:val="00B7491F"/>
    <w:rsid w:val="00B77411"/>
    <w:rsid w:val="00B80FA1"/>
    <w:rsid w:val="00B85D32"/>
    <w:rsid w:val="00B8616D"/>
    <w:rsid w:val="00B86541"/>
    <w:rsid w:val="00B86955"/>
    <w:rsid w:val="00B90C92"/>
    <w:rsid w:val="00B92268"/>
    <w:rsid w:val="00B92EC4"/>
    <w:rsid w:val="00B9632F"/>
    <w:rsid w:val="00BA1F20"/>
    <w:rsid w:val="00BA243F"/>
    <w:rsid w:val="00BA43AF"/>
    <w:rsid w:val="00BA5C68"/>
    <w:rsid w:val="00BA711E"/>
    <w:rsid w:val="00BB31D6"/>
    <w:rsid w:val="00BB3255"/>
    <w:rsid w:val="00BB3976"/>
    <w:rsid w:val="00BB4FA8"/>
    <w:rsid w:val="00BB5747"/>
    <w:rsid w:val="00BB7497"/>
    <w:rsid w:val="00BC3D36"/>
    <w:rsid w:val="00BC4958"/>
    <w:rsid w:val="00BC6092"/>
    <w:rsid w:val="00BC680E"/>
    <w:rsid w:val="00BD12AD"/>
    <w:rsid w:val="00BD1660"/>
    <w:rsid w:val="00BD2AF9"/>
    <w:rsid w:val="00BD4C45"/>
    <w:rsid w:val="00BE2941"/>
    <w:rsid w:val="00BE3FD0"/>
    <w:rsid w:val="00BE4A10"/>
    <w:rsid w:val="00BE7308"/>
    <w:rsid w:val="00BF0054"/>
    <w:rsid w:val="00BF2445"/>
    <w:rsid w:val="00BF5278"/>
    <w:rsid w:val="00BF6648"/>
    <w:rsid w:val="00C009BB"/>
    <w:rsid w:val="00C035CA"/>
    <w:rsid w:val="00C03D9A"/>
    <w:rsid w:val="00C048FC"/>
    <w:rsid w:val="00C06420"/>
    <w:rsid w:val="00C10266"/>
    <w:rsid w:val="00C13B01"/>
    <w:rsid w:val="00C144CB"/>
    <w:rsid w:val="00C159F3"/>
    <w:rsid w:val="00C16186"/>
    <w:rsid w:val="00C167BC"/>
    <w:rsid w:val="00C20656"/>
    <w:rsid w:val="00C26700"/>
    <w:rsid w:val="00C267EA"/>
    <w:rsid w:val="00C31577"/>
    <w:rsid w:val="00C3171E"/>
    <w:rsid w:val="00C322DD"/>
    <w:rsid w:val="00C41037"/>
    <w:rsid w:val="00C45C0D"/>
    <w:rsid w:val="00C45DB7"/>
    <w:rsid w:val="00C475B5"/>
    <w:rsid w:val="00C50488"/>
    <w:rsid w:val="00C619D5"/>
    <w:rsid w:val="00C61D84"/>
    <w:rsid w:val="00C64205"/>
    <w:rsid w:val="00C6456E"/>
    <w:rsid w:val="00C650CA"/>
    <w:rsid w:val="00C665A5"/>
    <w:rsid w:val="00C67126"/>
    <w:rsid w:val="00C73F8E"/>
    <w:rsid w:val="00C80E2E"/>
    <w:rsid w:val="00C839EB"/>
    <w:rsid w:val="00C84E8C"/>
    <w:rsid w:val="00C867B9"/>
    <w:rsid w:val="00C94724"/>
    <w:rsid w:val="00C9479A"/>
    <w:rsid w:val="00C953E1"/>
    <w:rsid w:val="00C961FA"/>
    <w:rsid w:val="00C978B1"/>
    <w:rsid w:val="00CA1DF1"/>
    <w:rsid w:val="00CA4A1D"/>
    <w:rsid w:val="00CA5C57"/>
    <w:rsid w:val="00CA6A1E"/>
    <w:rsid w:val="00CB002B"/>
    <w:rsid w:val="00CB1177"/>
    <w:rsid w:val="00CB1BD6"/>
    <w:rsid w:val="00CB2075"/>
    <w:rsid w:val="00CB2146"/>
    <w:rsid w:val="00CB2289"/>
    <w:rsid w:val="00CB33F8"/>
    <w:rsid w:val="00CB43A6"/>
    <w:rsid w:val="00CB5841"/>
    <w:rsid w:val="00CB62B3"/>
    <w:rsid w:val="00CC2629"/>
    <w:rsid w:val="00CC448E"/>
    <w:rsid w:val="00CC5167"/>
    <w:rsid w:val="00CC5830"/>
    <w:rsid w:val="00CC7FFE"/>
    <w:rsid w:val="00CD17DA"/>
    <w:rsid w:val="00CD18F8"/>
    <w:rsid w:val="00CD6677"/>
    <w:rsid w:val="00CD70F4"/>
    <w:rsid w:val="00CE28DD"/>
    <w:rsid w:val="00CE3330"/>
    <w:rsid w:val="00CE5BD9"/>
    <w:rsid w:val="00CE76CA"/>
    <w:rsid w:val="00CF12BC"/>
    <w:rsid w:val="00CF1578"/>
    <w:rsid w:val="00CF2333"/>
    <w:rsid w:val="00CF406D"/>
    <w:rsid w:val="00CF5135"/>
    <w:rsid w:val="00CF597C"/>
    <w:rsid w:val="00CF75AF"/>
    <w:rsid w:val="00D00650"/>
    <w:rsid w:val="00D00BC5"/>
    <w:rsid w:val="00D010FB"/>
    <w:rsid w:val="00D015D4"/>
    <w:rsid w:val="00D024E5"/>
    <w:rsid w:val="00D028BC"/>
    <w:rsid w:val="00D06230"/>
    <w:rsid w:val="00D078FC"/>
    <w:rsid w:val="00D1063F"/>
    <w:rsid w:val="00D10A8A"/>
    <w:rsid w:val="00D10E2C"/>
    <w:rsid w:val="00D12993"/>
    <w:rsid w:val="00D158AB"/>
    <w:rsid w:val="00D20FFF"/>
    <w:rsid w:val="00D22D86"/>
    <w:rsid w:val="00D24F6E"/>
    <w:rsid w:val="00D3025D"/>
    <w:rsid w:val="00D31285"/>
    <w:rsid w:val="00D33FEC"/>
    <w:rsid w:val="00D365D4"/>
    <w:rsid w:val="00D4190C"/>
    <w:rsid w:val="00D44052"/>
    <w:rsid w:val="00D44F8A"/>
    <w:rsid w:val="00D45D54"/>
    <w:rsid w:val="00D46019"/>
    <w:rsid w:val="00D532C6"/>
    <w:rsid w:val="00D53B80"/>
    <w:rsid w:val="00D55E59"/>
    <w:rsid w:val="00D56E91"/>
    <w:rsid w:val="00D5723B"/>
    <w:rsid w:val="00D6044E"/>
    <w:rsid w:val="00D657E3"/>
    <w:rsid w:val="00D6746D"/>
    <w:rsid w:val="00D67C59"/>
    <w:rsid w:val="00D74EAD"/>
    <w:rsid w:val="00D7546E"/>
    <w:rsid w:val="00D75F2C"/>
    <w:rsid w:val="00D77A79"/>
    <w:rsid w:val="00D77F91"/>
    <w:rsid w:val="00D822AD"/>
    <w:rsid w:val="00D8528D"/>
    <w:rsid w:val="00D85CDB"/>
    <w:rsid w:val="00D8787B"/>
    <w:rsid w:val="00D94CAA"/>
    <w:rsid w:val="00D96428"/>
    <w:rsid w:val="00D964A7"/>
    <w:rsid w:val="00D96A3F"/>
    <w:rsid w:val="00DA09AC"/>
    <w:rsid w:val="00DA371B"/>
    <w:rsid w:val="00DA47C1"/>
    <w:rsid w:val="00DA634A"/>
    <w:rsid w:val="00DB4B91"/>
    <w:rsid w:val="00DB4D18"/>
    <w:rsid w:val="00DC0E71"/>
    <w:rsid w:val="00DC1BE2"/>
    <w:rsid w:val="00DC70F0"/>
    <w:rsid w:val="00DD0B70"/>
    <w:rsid w:val="00DD25B3"/>
    <w:rsid w:val="00DD34C0"/>
    <w:rsid w:val="00DD4039"/>
    <w:rsid w:val="00DD4F6F"/>
    <w:rsid w:val="00DD644D"/>
    <w:rsid w:val="00DE200D"/>
    <w:rsid w:val="00DE2928"/>
    <w:rsid w:val="00DE4A75"/>
    <w:rsid w:val="00DE4E94"/>
    <w:rsid w:val="00DE5D45"/>
    <w:rsid w:val="00DF3879"/>
    <w:rsid w:val="00DF543C"/>
    <w:rsid w:val="00DF68E2"/>
    <w:rsid w:val="00DF728F"/>
    <w:rsid w:val="00DF7FAD"/>
    <w:rsid w:val="00E01B24"/>
    <w:rsid w:val="00E065A9"/>
    <w:rsid w:val="00E070AE"/>
    <w:rsid w:val="00E07F2E"/>
    <w:rsid w:val="00E15CB3"/>
    <w:rsid w:val="00E16B93"/>
    <w:rsid w:val="00E17750"/>
    <w:rsid w:val="00E20EBE"/>
    <w:rsid w:val="00E20FC6"/>
    <w:rsid w:val="00E22AB3"/>
    <w:rsid w:val="00E255F4"/>
    <w:rsid w:val="00E302B6"/>
    <w:rsid w:val="00E30318"/>
    <w:rsid w:val="00E30ABC"/>
    <w:rsid w:val="00E32B6B"/>
    <w:rsid w:val="00E33A90"/>
    <w:rsid w:val="00E34D53"/>
    <w:rsid w:val="00E37711"/>
    <w:rsid w:val="00E37DA7"/>
    <w:rsid w:val="00E425C1"/>
    <w:rsid w:val="00E42D7A"/>
    <w:rsid w:val="00E514F6"/>
    <w:rsid w:val="00E5293C"/>
    <w:rsid w:val="00E53D6E"/>
    <w:rsid w:val="00E5439C"/>
    <w:rsid w:val="00E55793"/>
    <w:rsid w:val="00E55F5E"/>
    <w:rsid w:val="00E6293A"/>
    <w:rsid w:val="00E6314D"/>
    <w:rsid w:val="00E6357D"/>
    <w:rsid w:val="00E63FED"/>
    <w:rsid w:val="00E66E39"/>
    <w:rsid w:val="00E702FD"/>
    <w:rsid w:val="00E72B98"/>
    <w:rsid w:val="00E73F3E"/>
    <w:rsid w:val="00E74E19"/>
    <w:rsid w:val="00E77C13"/>
    <w:rsid w:val="00E85459"/>
    <w:rsid w:val="00E85D3F"/>
    <w:rsid w:val="00E87866"/>
    <w:rsid w:val="00E91FF9"/>
    <w:rsid w:val="00E92034"/>
    <w:rsid w:val="00E936FD"/>
    <w:rsid w:val="00E93F48"/>
    <w:rsid w:val="00E949C6"/>
    <w:rsid w:val="00E952E2"/>
    <w:rsid w:val="00E959B6"/>
    <w:rsid w:val="00EA7D4D"/>
    <w:rsid w:val="00EB05DF"/>
    <w:rsid w:val="00EB54B4"/>
    <w:rsid w:val="00EC0819"/>
    <w:rsid w:val="00EC1D08"/>
    <w:rsid w:val="00EC301A"/>
    <w:rsid w:val="00EC5FD5"/>
    <w:rsid w:val="00EC70D5"/>
    <w:rsid w:val="00EC71EA"/>
    <w:rsid w:val="00ED19FB"/>
    <w:rsid w:val="00ED4B61"/>
    <w:rsid w:val="00ED4E9C"/>
    <w:rsid w:val="00ED6399"/>
    <w:rsid w:val="00ED68E0"/>
    <w:rsid w:val="00EE0040"/>
    <w:rsid w:val="00EE37F3"/>
    <w:rsid w:val="00EE3F7B"/>
    <w:rsid w:val="00EE43B3"/>
    <w:rsid w:val="00EE4D91"/>
    <w:rsid w:val="00EE600E"/>
    <w:rsid w:val="00EE75DF"/>
    <w:rsid w:val="00EE7A65"/>
    <w:rsid w:val="00EF1ADA"/>
    <w:rsid w:val="00EF3CD3"/>
    <w:rsid w:val="00EF3E44"/>
    <w:rsid w:val="00EF465B"/>
    <w:rsid w:val="00EF71E6"/>
    <w:rsid w:val="00F00CC2"/>
    <w:rsid w:val="00F022F7"/>
    <w:rsid w:val="00F02704"/>
    <w:rsid w:val="00F05D17"/>
    <w:rsid w:val="00F0662E"/>
    <w:rsid w:val="00F070B8"/>
    <w:rsid w:val="00F07DC6"/>
    <w:rsid w:val="00F10F5E"/>
    <w:rsid w:val="00F140E6"/>
    <w:rsid w:val="00F212F3"/>
    <w:rsid w:val="00F21AED"/>
    <w:rsid w:val="00F238D1"/>
    <w:rsid w:val="00F25FCC"/>
    <w:rsid w:val="00F272CF"/>
    <w:rsid w:val="00F30021"/>
    <w:rsid w:val="00F31941"/>
    <w:rsid w:val="00F31CFD"/>
    <w:rsid w:val="00F31E30"/>
    <w:rsid w:val="00F32D07"/>
    <w:rsid w:val="00F339E9"/>
    <w:rsid w:val="00F34F6E"/>
    <w:rsid w:val="00F35D18"/>
    <w:rsid w:val="00F40C4D"/>
    <w:rsid w:val="00F43F65"/>
    <w:rsid w:val="00F44882"/>
    <w:rsid w:val="00F46CB5"/>
    <w:rsid w:val="00F50BA0"/>
    <w:rsid w:val="00F52366"/>
    <w:rsid w:val="00F53E12"/>
    <w:rsid w:val="00F552A2"/>
    <w:rsid w:val="00F5691A"/>
    <w:rsid w:val="00F60B16"/>
    <w:rsid w:val="00F632A1"/>
    <w:rsid w:val="00F64C7D"/>
    <w:rsid w:val="00F65E0C"/>
    <w:rsid w:val="00F6688C"/>
    <w:rsid w:val="00F671EE"/>
    <w:rsid w:val="00F76DE4"/>
    <w:rsid w:val="00F7778C"/>
    <w:rsid w:val="00F77D5F"/>
    <w:rsid w:val="00F81446"/>
    <w:rsid w:val="00F822DC"/>
    <w:rsid w:val="00F84D3D"/>
    <w:rsid w:val="00F84DEE"/>
    <w:rsid w:val="00F85CAA"/>
    <w:rsid w:val="00F90DDC"/>
    <w:rsid w:val="00F91134"/>
    <w:rsid w:val="00F931F9"/>
    <w:rsid w:val="00F96A97"/>
    <w:rsid w:val="00FA0140"/>
    <w:rsid w:val="00FA10BB"/>
    <w:rsid w:val="00FA34EF"/>
    <w:rsid w:val="00FA40A2"/>
    <w:rsid w:val="00FA49DD"/>
    <w:rsid w:val="00FB62F0"/>
    <w:rsid w:val="00FB6EED"/>
    <w:rsid w:val="00FC051D"/>
    <w:rsid w:val="00FC06A8"/>
    <w:rsid w:val="00FC1C9C"/>
    <w:rsid w:val="00FC1F87"/>
    <w:rsid w:val="00FD1808"/>
    <w:rsid w:val="00FD735C"/>
    <w:rsid w:val="00FD7F5E"/>
    <w:rsid w:val="00FE247B"/>
    <w:rsid w:val="00FE2E7C"/>
    <w:rsid w:val="00FE44EA"/>
    <w:rsid w:val="00FE6D7E"/>
    <w:rsid w:val="00FF09D9"/>
    <w:rsid w:val="00FF09DF"/>
    <w:rsid w:val="00FF359A"/>
    <w:rsid w:val="00FF50E4"/>
    <w:rsid w:val="00FF5442"/>
    <w:rsid w:val="00FF579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C1B45"/>
  <w15:docId w15:val="{94E0892D-F0DE-4C00-9A1E-3D67B9A3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64A7"/>
    <w:pPr>
      <w:suppressAutoHyphens/>
      <w:jc w:val="both"/>
    </w:pPr>
    <w:rPr>
      <w:kern w:val="14"/>
    </w:rPr>
  </w:style>
  <w:style w:type="paragraph" w:styleId="Nagwek1">
    <w:name w:val="heading 1"/>
    <w:basedOn w:val="Normalny"/>
    <w:next w:val="Normalny"/>
    <w:qFormat/>
    <w:rsid w:val="00D964A7"/>
    <w:pPr>
      <w:keepNext/>
      <w:jc w:val="center"/>
      <w:outlineLvl w:val="0"/>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tractClauseTitle">
    <w:name w:val="Abstract Clause Title"/>
    <w:basedOn w:val="Normalny"/>
    <w:next w:val="Tekstpodstawowywcity"/>
    <w:qFormat/>
    <w:rsid w:val="00D964A7"/>
    <w:pPr>
      <w:keepNext/>
    </w:pPr>
    <w:rPr>
      <w:rFonts w:ascii="Arial" w:hAnsi="Arial"/>
      <w:b/>
      <w:caps/>
    </w:rPr>
  </w:style>
  <w:style w:type="paragraph" w:styleId="Tekstpodstawowywcity">
    <w:name w:val="Body Text Indent"/>
    <w:basedOn w:val="Normalny"/>
    <w:link w:val="TekstpodstawowywcityZnak"/>
    <w:semiHidden/>
    <w:rsid w:val="00D964A7"/>
    <w:pPr>
      <w:ind w:firstLine="360"/>
    </w:pPr>
  </w:style>
  <w:style w:type="paragraph" w:customStyle="1" w:styleId="AcknowledgmentsClauseTitle">
    <w:name w:val="Acknowledgments Clause Title"/>
    <w:basedOn w:val="Normalny"/>
    <w:next w:val="Tekstpodstawowywcity"/>
    <w:qFormat/>
    <w:rsid w:val="00D964A7"/>
    <w:pPr>
      <w:keepNext/>
      <w:spacing w:before="240"/>
    </w:pPr>
    <w:rPr>
      <w:rFonts w:ascii="Arial" w:hAnsi="Arial"/>
      <w:b/>
      <w:caps/>
    </w:rPr>
  </w:style>
  <w:style w:type="paragraph" w:customStyle="1" w:styleId="Affiliation">
    <w:name w:val="Affiliation"/>
    <w:basedOn w:val="Normalny"/>
    <w:qFormat/>
    <w:rsid w:val="00D964A7"/>
    <w:pPr>
      <w:jc w:val="center"/>
    </w:pPr>
    <w:rPr>
      <w:rFonts w:ascii="Arial" w:hAnsi="Arial"/>
    </w:rPr>
  </w:style>
  <w:style w:type="paragraph" w:customStyle="1" w:styleId="Author">
    <w:name w:val="Author"/>
    <w:basedOn w:val="Normalny"/>
    <w:next w:val="Affiliation"/>
    <w:qFormat/>
    <w:rsid w:val="00D964A7"/>
    <w:pPr>
      <w:keepNext/>
      <w:jc w:val="center"/>
    </w:pPr>
    <w:rPr>
      <w:rFonts w:ascii="Arial" w:hAnsi="Arial"/>
      <w:b/>
    </w:rPr>
  </w:style>
  <w:style w:type="paragraph" w:customStyle="1" w:styleId="DocumentNumber">
    <w:name w:val="Document Number"/>
    <w:basedOn w:val="Normalny"/>
    <w:next w:val="Tekstpodstawowywcity"/>
    <w:rsid w:val="00D964A7"/>
    <w:pPr>
      <w:spacing w:before="900"/>
      <w:jc w:val="right"/>
    </w:pPr>
    <w:rPr>
      <w:rFonts w:ascii="Arial" w:hAnsi="Arial"/>
      <w:b/>
      <w:sz w:val="36"/>
    </w:rPr>
  </w:style>
  <w:style w:type="paragraph" w:customStyle="1" w:styleId="EquationNumber">
    <w:name w:val="Equation Number"/>
    <w:basedOn w:val="Normalny"/>
    <w:next w:val="Tekstpodstawowywcity"/>
    <w:rsid w:val="00D964A7"/>
    <w:pPr>
      <w:jc w:val="right"/>
    </w:pPr>
  </w:style>
  <w:style w:type="paragraph" w:customStyle="1" w:styleId="FigureCaption">
    <w:name w:val="Figure Caption"/>
    <w:basedOn w:val="Normalny"/>
    <w:next w:val="Tekstpodstawowywcity"/>
    <w:rsid w:val="00D964A7"/>
    <w:pPr>
      <w:jc w:val="center"/>
    </w:pPr>
    <w:rPr>
      <w:rFonts w:ascii="Arial" w:hAnsi="Arial"/>
      <w:b/>
    </w:rPr>
  </w:style>
  <w:style w:type="paragraph" w:styleId="Stopka">
    <w:name w:val="footer"/>
    <w:basedOn w:val="Normalny"/>
    <w:next w:val="Nagwek"/>
    <w:link w:val="StopkaZnak"/>
    <w:uiPriority w:val="99"/>
    <w:rsid w:val="00D964A7"/>
    <w:pPr>
      <w:tabs>
        <w:tab w:val="center" w:pos="5760"/>
        <w:tab w:val="right" w:pos="10800"/>
      </w:tabs>
    </w:pPr>
  </w:style>
  <w:style w:type="paragraph" w:styleId="Nagwek">
    <w:name w:val="header"/>
    <w:basedOn w:val="Normalny"/>
    <w:next w:val="Stopka"/>
    <w:semiHidden/>
    <w:rsid w:val="00D964A7"/>
  </w:style>
  <w:style w:type="paragraph" w:styleId="Tekstprzypisudolnego">
    <w:name w:val="footnote text"/>
    <w:basedOn w:val="Normalny"/>
    <w:semiHidden/>
    <w:rsid w:val="00D964A7"/>
    <w:pPr>
      <w:ind w:firstLine="360"/>
    </w:pPr>
    <w:rPr>
      <w:sz w:val="16"/>
    </w:rPr>
  </w:style>
  <w:style w:type="paragraph" w:customStyle="1" w:styleId="NomenclatureClauseTitle">
    <w:name w:val="Nomenclature Clause Title"/>
    <w:basedOn w:val="Normalny"/>
    <w:next w:val="Tekstpodstawowywcity"/>
    <w:rsid w:val="00D964A7"/>
    <w:pPr>
      <w:keepNext/>
      <w:spacing w:before="240"/>
    </w:pPr>
    <w:rPr>
      <w:rFonts w:ascii="Arial" w:hAnsi="Arial"/>
      <w:b/>
      <w:caps/>
    </w:rPr>
  </w:style>
  <w:style w:type="paragraph" w:customStyle="1" w:styleId="ReferencesClauseTitle">
    <w:name w:val="References Clause Title"/>
    <w:basedOn w:val="Normalny"/>
    <w:next w:val="Tekstpodstawowywcity"/>
    <w:rsid w:val="00D964A7"/>
    <w:pPr>
      <w:keepNext/>
      <w:spacing w:before="240"/>
    </w:pPr>
    <w:rPr>
      <w:rFonts w:ascii="Arial" w:hAnsi="Arial"/>
      <w:b/>
      <w:caps/>
    </w:rPr>
  </w:style>
  <w:style w:type="paragraph" w:customStyle="1" w:styleId="TableCaption">
    <w:name w:val="Table Caption"/>
    <w:basedOn w:val="Normalny"/>
    <w:next w:val="Tekstpodstawowywcity"/>
    <w:rsid w:val="00D964A7"/>
    <w:pPr>
      <w:jc w:val="center"/>
    </w:pPr>
    <w:rPr>
      <w:rFonts w:ascii="Arial" w:hAnsi="Arial"/>
      <w:b/>
    </w:rPr>
  </w:style>
  <w:style w:type="paragraph" w:customStyle="1" w:styleId="TextHeading1">
    <w:name w:val="Text Heading 1"/>
    <w:basedOn w:val="Normalny"/>
    <w:next w:val="Tekstpodstawowywcity"/>
    <w:rsid w:val="00D964A7"/>
    <w:pPr>
      <w:keepNext/>
      <w:spacing w:before="240"/>
    </w:pPr>
    <w:rPr>
      <w:rFonts w:ascii="Arial" w:hAnsi="Arial"/>
      <w:b/>
      <w:caps/>
    </w:rPr>
  </w:style>
  <w:style w:type="paragraph" w:customStyle="1" w:styleId="TextHeading2">
    <w:name w:val="Text Heading 2"/>
    <w:basedOn w:val="Normalny"/>
    <w:next w:val="Tekstpodstawowywcity"/>
    <w:rsid w:val="00D964A7"/>
    <w:pPr>
      <w:keepNext/>
      <w:spacing w:before="240"/>
    </w:pPr>
    <w:rPr>
      <w:rFonts w:ascii="Arial" w:hAnsi="Arial"/>
      <w:b/>
      <w:u w:val="single"/>
    </w:rPr>
  </w:style>
  <w:style w:type="paragraph" w:customStyle="1" w:styleId="TextHeading3">
    <w:name w:val="Text Heading 3"/>
    <w:basedOn w:val="Normalny"/>
    <w:next w:val="Tekstpodstawowywcity"/>
    <w:rsid w:val="00D964A7"/>
    <w:pPr>
      <w:spacing w:before="240"/>
      <w:ind w:left="360"/>
    </w:pPr>
    <w:rPr>
      <w:rFonts w:ascii="Arial" w:hAnsi="Arial"/>
      <w:b/>
      <w:u w:val="single"/>
    </w:rPr>
  </w:style>
  <w:style w:type="paragraph" w:styleId="Tytu">
    <w:name w:val="Title"/>
    <w:basedOn w:val="Normalny"/>
    <w:qFormat/>
    <w:rsid w:val="00D964A7"/>
    <w:pPr>
      <w:spacing w:before="760"/>
      <w:jc w:val="center"/>
    </w:pPr>
    <w:rPr>
      <w:rFonts w:ascii="Arial" w:hAnsi="Arial"/>
      <w:b/>
      <w:caps/>
      <w:sz w:val="24"/>
    </w:rPr>
  </w:style>
  <w:style w:type="paragraph" w:styleId="Legenda">
    <w:name w:val="caption"/>
    <w:basedOn w:val="Normalny"/>
    <w:next w:val="Normalny"/>
    <w:qFormat/>
    <w:rsid w:val="00D964A7"/>
    <w:pPr>
      <w:spacing w:before="120" w:after="120"/>
    </w:pPr>
    <w:rPr>
      <w:b/>
    </w:rPr>
  </w:style>
  <w:style w:type="paragraph" w:styleId="Tekstdymka">
    <w:name w:val="Balloon Text"/>
    <w:basedOn w:val="Normalny"/>
    <w:link w:val="TekstdymkaZnak"/>
    <w:uiPriority w:val="99"/>
    <w:semiHidden/>
    <w:unhideWhenUsed/>
    <w:rsid w:val="00C322DD"/>
    <w:rPr>
      <w:rFonts w:ascii="Tahoma" w:hAnsi="Tahoma" w:cs="Tahoma"/>
      <w:sz w:val="16"/>
      <w:szCs w:val="16"/>
    </w:rPr>
  </w:style>
  <w:style w:type="character" w:customStyle="1" w:styleId="TekstdymkaZnak">
    <w:name w:val="Tekst dymka Znak"/>
    <w:basedOn w:val="Domylnaczcionkaakapitu"/>
    <w:link w:val="Tekstdymka"/>
    <w:uiPriority w:val="99"/>
    <w:semiHidden/>
    <w:rsid w:val="00C322DD"/>
    <w:rPr>
      <w:rFonts w:ascii="Tahoma" w:hAnsi="Tahoma" w:cs="Tahoma"/>
      <w:kern w:val="14"/>
      <w:sz w:val="16"/>
      <w:szCs w:val="16"/>
    </w:rPr>
  </w:style>
  <w:style w:type="character" w:styleId="Odwoaniedokomentarza">
    <w:name w:val="annotation reference"/>
    <w:basedOn w:val="Domylnaczcionkaakapitu"/>
    <w:uiPriority w:val="99"/>
    <w:semiHidden/>
    <w:unhideWhenUsed/>
    <w:rsid w:val="00D532C6"/>
    <w:rPr>
      <w:sz w:val="16"/>
      <w:szCs w:val="16"/>
    </w:rPr>
  </w:style>
  <w:style w:type="paragraph" w:styleId="Tekstkomentarza">
    <w:name w:val="annotation text"/>
    <w:basedOn w:val="Normalny"/>
    <w:link w:val="TekstkomentarzaZnak"/>
    <w:uiPriority w:val="99"/>
    <w:unhideWhenUsed/>
    <w:rsid w:val="00D532C6"/>
  </w:style>
  <w:style w:type="character" w:customStyle="1" w:styleId="TekstkomentarzaZnak">
    <w:name w:val="Tekst komentarza Znak"/>
    <w:basedOn w:val="Domylnaczcionkaakapitu"/>
    <w:link w:val="Tekstkomentarza"/>
    <w:uiPriority w:val="99"/>
    <w:rsid w:val="00D532C6"/>
    <w:rPr>
      <w:kern w:val="14"/>
    </w:rPr>
  </w:style>
  <w:style w:type="paragraph" w:styleId="Tematkomentarza">
    <w:name w:val="annotation subject"/>
    <w:basedOn w:val="Tekstkomentarza"/>
    <w:next w:val="Tekstkomentarza"/>
    <w:link w:val="TematkomentarzaZnak"/>
    <w:uiPriority w:val="99"/>
    <w:semiHidden/>
    <w:unhideWhenUsed/>
    <w:rsid w:val="00D532C6"/>
    <w:rPr>
      <w:b/>
      <w:bCs/>
    </w:rPr>
  </w:style>
  <w:style w:type="character" w:customStyle="1" w:styleId="TematkomentarzaZnak">
    <w:name w:val="Temat komentarza Znak"/>
    <w:basedOn w:val="TekstkomentarzaZnak"/>
    <w:link w:val="Tematkomentarza"/>
    <w:uiPriority w:val="99"/>
    <w:semiHidden/>
    <w:rsid w:val="00D532C6"/>
    <w:rPr>
      <w:b/>
      <w:bCs/>
      <w:kern w:val="14"/>
    </w:rPr>
  </w:style>
  <w:style w:type="paragraph" w:styleId="Poprawka">
    <w:name w:val="Revision"/>
    <w:hidden/>
    <w:uiPriority w:val="99"/>
    <w:semiHidden/>
    <w:rsid w:val="00F212F3"/>
    <w:rPr>
      <w:kern w:val="14"/>
    </w:rPr>
  </w:style>
  <w:style w:type="character" w:customStyle="1" w:styleId="StopkaZnak">
    <w:name w:val="Stopka Znak"/>
    <w:basedOn w:val="Domylnaczcionkaakapitu"/>
    <w:link w:val="Stopka"/>
    <w:uiPriority w:val="99"/>
    <w:rsid w:val="00136502"/>
    <w:rPr>
      <w:kern w:val="14"/>
    </w:rPr>
  </w:style>
  <w:style w:type="character" w:styleId="Hipercze">
    <w:name w:val="Hyperlink"/>
    <w:basedOn w:val="Domylnaczcionkaakapitu"/>
    <w:uiPriority w:val="99"/>
    <w:unhideWhenUsed/>
    <w:rsid w:val="00243A24"/>
    <w:rPr>
      <w:color w:val="0000FF" w:themeColor="hyperlink"/>
      <w:u w:val="single"/>
    </w:rPr>
  </w:style>
  <w:style w:type="character" w:styleId="Nierozpoznanawzmianka">
    <w:name w:val="Unresolved Mention"/>
    <w:basedOn w:val="Domylnaczcionkaakapitu"/>
    <w:uiPriority w:val="99"/>
    <w:semiHidden/>
    <w:unhideWhenUsed/>
    <w:rsid w:val="00243A24"/>
    <w:rPr>
      <w:color w:val="605E5C"/>
      <w:shd w:val="clear" w:color="auto" w:fill="E1DFDD"/>
    </w:rPr>
  </w:style>
  <w:style w:type="paragraph" w:styleId="Akapitzlist">
    <w:name w:val="List Paragraph"/>
    <w:basedOn w:val="Normalny"/>
    <w:uiPriority w:val="34"/>
    <w:qFormat/>
    <w:rsid w:val="00055FEB"/>
    <w:pPr>
      <w:ind w:left="720"/>
      <w:contextualSpacing/>
    </w:pPr>
  </w:style>
  <w:style w:type="character" w:styleId="UyteHipercze">
    <w:name w:val="FollowedHyperlink"/>
    <w:basedOn w:val="Domylnaczcionkaakapitu"/>
    <w:uiPriority w:val="99"/>
    <w:semiHidden/>
    <w:unhideWhenUsed/>
    <w:rsid w:val="0030662D"/>
    <w:rPr>
      <w:color w:val="800080" w:themeColor="followedHyperlink"/>
      <w:u w:val="single"/>
    </w:rPr>
  </w:style>
  <w:style w:type="character" w:customStyle="1" w:styleId="TekstpodstawowywcityZnak">
    <w:name w:val="Tekst podstawowy wcięty Znak"/>
    <w:basedOn w:val="Domylnaczcionkaakapitu"/>
    <w:link w:val="Tekstpodstawowywcity"/>
    <w:semiHidden/>
    <w:rsid w:val="00956ABE"/>
    <w:rPr>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18599">
      <w:bodyDiv w:val="1"/>
      <w:marLeft w:val="0"/>
      <w:marRight w:val="0"/>
      <w:marTop w:val="0"/>
      <w:marBottom w:val="0"/>
      <w:divBdr>
        <w:top w:val="none" w:sz="0" w:space="0" w:color="auto"/>
        <w:left w:val="none" w:sz="0" w:space="0" w:color="auto"/>
        <w:bottom w:val="none" w:sz="0" w:space="0" w:color="auto"/>
        <w:right w:val="none" w:sz="0" w:space="0" w:color="auto"/>
      </w:divBdr>
    </w:div>
    <w:div w:id="7934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f186f9-12fc-49c4-b34b-83e22dad0ebe" xsi:nil="true"/>
    <lcf76f155ced4ddcb4097134ff3c332f xmlns="cfd664a4-0d16-41cc-93e1-02e5e4175d6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14C98925BF85344080E7DD80A13A1C82" ma:contentTypeVersion="16" ma:contentTypeDescription="새 문서를 만듭니다." ma:contentTypeScope="" ma:versionID="c5da32ffbb99c4243afbd5b38aee955f">
  <xsd:schema xmlns:xsd="http://www.w3.org/2001/XMLSchema" xmlns:xs="http://www.w3.org/2001/XMLSchema" xmlns:p="http://schemas.microsoft.com/office/2006/metadata/properties" xmlns:ns2="cfd664a4-0d16-41cc-93e1-02e5e4175d64" xmlns:ns3="81f186f9-12fc-49c4-b34b-83e22dad0ebe" targetNamespace="http://schemas.microsoft.com/office/2006/metadata/properties" ma:root="true" ma:fieldsID="8685ac0444cac5e99ad72570dbc781fe" ns2:_="" ns3:_="">
    <xsd:import namespace="cfd664a4-0d16-41cc-93e1-02e5e4175d64"/>
    <xsd:import namespace="81f186f9-12fc-49c4-b34b-83e22dad0e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64a4-0d16-41cc-93e1-02e5e41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이미지 태그" ma:readOnly="false" ma:fieldId="{5cf76f15-5ced-4ddc-b409-7134ff3c332f}" ma:taxonomyMulti="true" ma:sspId="3f7807d1-82c6-4e7e-ad3b-0b540edf00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f186f9-12fc-49c4-b34b-83e22dad0eb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674065-6215-43bd-8a85-8245d8ca2b72}" ma:internalName="TaxCatchAll" ma:showField="CatchAllData" ma:web="81f186f9-12fc-49c4-b34b-83e22dad0eb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071EF-FB57-4F86-AA94-86CB751E8246}">
  <ds:schemaRefs>
    <ds:schemaRef ds:uri="http://schemas.microsoft.com/office/2006/metadata/properties"/>
    <ds:schemaRef ds:uri="http://schemas.microsoft.com/office/infopath/2007/PartnerControls"/>
    <ds:schemaRef ds:uri="81f186f9-12fc-49c4-b34b-83e22dad0ebe"/>
    <ds:schemaRef ds:uri="cfd664a4-0d16-41cc-93e1-02e5e4175d64"/>
  </ds:schemaRefs>
</ds:datastoreItem>
</file>

<file path=customXml/itemProps2.xml><?xml version="1.0" encoding="utf-8"?>
<ds:datastoreItem xmlns:ds="http://schemas.openxmlformats.org/officeDocument/2006/customXml" ds:itemID="{AF6B6017-6F2D-4E72-A0F5-C0C9A243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64a4-0d16-41cc-93e1-02e5e4175d64"/>
    <ds:schemaRef ds:uri="81f186f9-12fc-49c4-b34b-83e22dad0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CA5B1-7D02-4263-B3AC-5E55BCD543CD}">
  <ds:schemaRefs>
    <ds:schemaRef ds:uri="http://schemas.openxmlformats.org/officeDocument/2006/bibliography"/>
  </ds:schemaRefs>
</ds:datastoreItem>
</file>

<file path=customXml/itemProps4.xml><?xml version="1.0" encoding="utf-8"?>
<ds:datastoreItem xmlns:ds="http://schemas.openxmlformats.org/officeDocument/2006/customXml" ds:itemID="{CDCA3108-526D-46CF-BA32-4A4896B40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3631</Words>
  <Characters>21791</Characters>
  <Application>Microsoft Office Word</Application>
  <DocSecurity>0</DocSecurity>
  <Lines>181</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Put Paper Title Here</vt:lpstr>
      <vt:lpstr>Put Paper Title Here</vt:lpstr>
    </vt:vector>
  </TitlesOfParts>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creator>INSPI</dc:creator>
  <cp:lastModifiedBy>Mikołaj Brzeziński</cp:lastModifiedBy>
  <cp:revision>87</cp:revision>
  <cp:lastPrinted>2023-05-12T08:24:00Z</cp:lastPrinted>
  <dcterms:created xsi:type="dcterms:W3CDTF">2023-10-09T20:26:00Z</dcterms:created>
  <dcterms:modified xsi:type="dcterms:W3CDTF">2023-10-14T18:44:00Z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0x01010014C98925BF85344080E7DD80A13A1C82</vt:lpwstr>
  </property>
</Properties>
</file>