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45116" w14:textId="77777777" w:rsidR="00DE2928" w:rsidRPr="00981A7E" w:rsidRDefault="00DE2928" w:rsidP="00A03C8F">
      <w:pPr>
        <w:suppressAutoHyphens w:val="0"/>
        <w:spacing w:before="120"/>
        <w:contextualSpacing/>
        <w:jc w:val="center"/>
        <w:rPr>
          <w:rFonts w:eastAsia="Times New Roman"/>
          <w:b/>
          <w:spacing w:val="-10"/>
          <w:kern w:val="28"/>
          <w:sz w:val="32"/>
          <w:szCs w:val="56"/>
          <w:lang w:eastAsia="ja-JP"/>
        </w:rPr>
      </w:pPr>
    </w:p>
    <w:p w14:paraId="6647C66D" w14:textId="37A8B8BB" w:rsidR="00F842ED" w:rsidRPr="00F842ED" w:rsidRDefault="00F842ED" w:rsidP="00F842ED">
      <w:pPr>
        <w:suppressAutoHyphens w:val="0"/>
        <w:spacing w:before="120"/>
        <w:contextualSpacing/>
        <w:jc w:val="center"/>
        <w:rPr>
          <w:rFonts w:eastAsia="Times New Roman"/>
          <w:b/>
          <w:spacing w:val="-10"/>
          <w:kern w:val="28"/>
          <w:sz w:val="32"/>
          <w:szCs w:val="56"/>
          <w:lang w:val="en-GB"/>
        </w:rPr>
      </w:pPr>
      <w:r w:rsidRPr="00F842ED">
        <w:rPr>
          <w:rFonts w:eastAsia="Times New Roman"/>
          <w:b/>
          <w:spacing w:val="-10"/>
          <w:kern w:val="28"/>
          <w:sz w:val="32"/>
          <w:szCs w:val="56"/>
          <w:lang w:val="en-GB"/>
        </w:rPr>
        <w:t xml:space="preserve">Advances in the analysis and management of </w:t>
      </w:r>
      <w:r w:rsidR="003609AA">
        <w:rPr>
          <w:rFonts w:eastAsia="Times New Roman"/>
          <w:b/>
          <w:spacing w:val="-10"/>
          <w:kern w:val="28"/>
          <w:sz w:val="32"/>
          <w:szCs w:val="56"/>
          <w:lang w:val="en-GB"/>
        </w:rPr>
        <w:t xml:space="preserve">nuclear power plant </w:t>
      </w:r>
      <w:r w:rsidRPr="00F842ED">
        <w:rPr>
          <w:rFonts w:eastAsia="Times New Roman"/>
          <w:b/>
          <w:spacing w:val="-10"/>
          <w:kern w:val="28"/>
          <w:sz w:val="32"/>
          <w:szCs w:val="56"/>
          <w:lang w:val="en-GB"/>
        </w:rPr>
        <w:t>accidents and future challenges:</w:t>
      </w:r>
    </w:p>
    <w:p w14:paraId="197CB27B" w14:textId="4FA5ECE8" w:rsidR="00A03C8F" w:rsidRPr="00A03C8F" w:rsidRDefault="00F842ED" w:rsidP="00A03C8F">
      <w:pPr>
        <w:suppressAutoHyphens w:val="0"/>
        <w:spacing w:before="120"/>
        <w:contextualSpacing/>
        <w:jc w:val="center"/>
        <w:rPr>
          <w:rFonts w:eastAsia="Times New Roman"/>
          <w:b/>
          <w:spacing w:val="-10"/>
          <w:kern w:val="28"/>
          <w:sz w:val="32"/>
          <w:szCs w:val="56"/>
          <w:lang w:val="en-GB"/>
        </w:rPr>
      </w:pPr>
      <w:r w:rsidRPr="00F842ED">
        <w:rPr>
          <w:rFonts w:eastAsia="Times New Roman"/>
          <w:b/>
          <w:spacing w:val="-10"/>
          <w:kern w:val="28"/>
          <w:sz w:val="32"/>
          <w:szCs w:val="56"/>
          <w:lang w:val="en-GB"/>
        </w:rPr>
        <w:t xml:space="preserve">the OECD/NEA WGAMA and the Joint </w:t>
      </w:r>
      <w:r w:rsidR="003609AA">
        <w:rPr>
          <w:rFonts w:eastAsia="Times New Roman"/>
          <w:b/>
          <w:spacing w:val="-10"/>
          <w:kern w:val="28"/>
          <w:sz w:val="32"/>
          <w:szCs w:val="56"/>
          <w:lang w:val="en-GB"/>
        </w:rPr>
        <w:t xml:space="preserve">Nuclear </w:t>
      </w:r>
      <w:r w:rsidRPr="00F842ED">
        <w:rPr>
          <w:rFonts w:eastAsia="Times New Roman"/>
          <w:b/>
          <w:spacing w:val="-10"/>
          <w:kern w:val="28"/>
          <w:sz w:val="32"/>
          <w:szCs w:val="56"/>
          <w:lang w:val="en-GB"/>
        </w:rPr>
        <w:t>Safety Research Projects</w:t>
      </w:r>
    </w:p>
    <w:p w14:paraId="5B6C62CE" w14:textId="77777777" w:rsidR="00781B6A" w:rsidRDefault="00781B6A">
      <w:pPr>
        <w:pStyle w:val="Affiliation"/>
        <w:jc w:val="both"/>
        <w:rPr>
          <w:rFonts w:ascii="Times New Roman" w:hAnsi="Times New Roman"/>
        </w:rPr>
      </w:pPr>
      <w:bookmarkStart w:id="0" w:name="PutAuthorsHere"/>
    </w:p>
    <w:p w14:paraId="68174F00" w14:textId="77777777" w:rsidR="00781B6A" w:rsidRDefault="00781B6A">
      <w:pPr>
        <w:pStyle w:val="Affiliation"/>
        <w:jc w:val="both"/>
        <w:rPr>
          <w:rFonts w:ascii="Times New Roman" w:hAnsi="Times New Roman"/>
        </w:rPr>
      </w:pPr>
    </w:p>
    <w:p w14:paraId="381D1E77" w14:textId="77777777" w:rsidR="00F842ED" w:rsidRDefault="00F842ED" w:rsidP="00F842ED">
      <w:pPr>
        <w:snapToGrid w:val="0"/>
        <w:jc w:val="center"/>
        <w:rPr>
          <w:b/>
        </w:rPr>
      </w:pPr>
      <w:r>
        <w:rPr>
          <w:b/>
        </w:rPr>
        <w:t>Hideo Nakamura</w:t>
      </w:r>
    </w:p>
    <w:p w14:paraId="50268BB4" w14:textId="77777777" w:rsidR="00F842ED" w:rsidRDefault="00F842ED" w:rsidP="00F842ED">
      <w:pPr>
        <w:snapToGrid w:val="0"/>
        <w:jc w:val="center"/>
      </w:pPr>
      <w:r w:rsidRPr="000603CE">
        <w:t>Japan Atomic Energy Agency (JAEA)</w:t>
      </w:r>
    </w:p>
    <w:p w14:paraId="71CA5560" w14:textId="5B4EBE72" w:rsidR="00F842ED" w:rsidRPr="005F32EF" w:rsidRDefault="00F75B4D" w:rsidP="00F842ED">
      <w:pPr>
        <w:snapToGrid w:val="0"/>
        <w:jc w:val="center"/>
        <w:rPr>
          <w:color w:val="4A442A" w:themeColor="background2" w:themeShade="40"/>
          <w:lang w:val="de-DE"/>
        </w:rPr>
      </w:pPr>
      <w:r w:rsidRPr="005F32EF">
        <w:rPr>
          <w:lang w:val="de-DE"/>
        </w:rPr>
        <w:t xml:space="preserve">2-4 Shirakata, </w:t>
      </w:r>
      <w:r w:rsidR="00F842ED" w:rsidRPr="005F32EF">
        <w:rPr>
          <w:lang w:val="de-DE"/>
        </w:rPr>
        <w:t>Tokai, Japan</w:t>
      </w:r>
    </w:p>
    <w:p w14:paraId="7A3A2DAC" w14:textId="77777777" w:rsidR="00F842ED" w:rsidRPr="005F32EF" w:rsidRDefault="00427A21" w:rsidP="00F842ED">
      <w:pPr>
        <w:jc w:val="center"/>
        <w:rPr>
          <w:lang w:val="de-DE"/>
        </w:rPr>
      </w:pPr>
      <w:hyperlink r:id="rId11" w:history="1">
        <w:r w:rsidR="00F842ED" w:rsidRPr="005F32EF">
          <w:rPr>
            <w:rStyle w:val="Hyperlink"/>
            <w:lang w:val="de-DE"/>
          </w:rPr>
          <w:t>nakamura.hideo@jaea.go.jp</w:t>
        </w:r>
      </w:hyperlink>
      <w:r w:rsidR="00F842ED" w:rsidRPr="005F32EF">
        <w:rPr>
          <w:lang w:val="de-DE"/>
        </w:rPr>
        <w:t xml:space="preserve"> </w:t>
      </w:r>
    </w:p>
    <w:p w14:paraId="24F70B9C" w14:textId="77777777" w:rsidR="00F842ED" w:rsidRPr="005F32EF" w:rsidRDefault="00F842ED" w:rsidP="00F842ED">
      <w:pPr>
        <w:jc w:val="center"/>
        <w:rPr>
          <w:lang w:val="de-DE"/>
        </w:rPr>
      </w:pPr>
    </w:p>
    <w:p w14:paraId="34851758" w14:textId="77777777" w:rsidR="00F842ED" w:rsidRPr="00C21323" w:rsidRDefault="00F842ED" w:rsidP="00F842ED">
      <w:pPr>
        <w:jc w:val="center"/>
        <w:rPr>
          <w:b/>
          <w:lang w:val="fr-FR"/>
        </w:rPr>
      </w:pPr>
      <w:r w:rsidRPr="00C21323">
        <w:rPr>
          <w:b/>
          <w:lang w:val="fr-FR"/>
        </w:rPr>
        <w:t>Ahmed Bentaib</w:t>
      </w:r>
    </w:p>
    <w:p w14:paraId="70DD633B" w14:textId="77777777" w:rsidR="00F842ED" w:rsidRDefault="00F842ED" w:rsidP="00F842ED">
      <w:pPr>
        <w:jc w:val="center"/>
        <w:rPr>
          <w:lang w:val="fr-FR"/>
        </w:rPr>
      </w:pPr>
      <w:r w:rsidRPr="00E85EBF">
        <w:rPr>
          <w:lang w:val="fr-FR"/>
        </w:rPr>
        <w:t xml:space="preserve">Institut de Radioprotection et de Sureté </w:t>
      </w:r>
      <w:r>
        <w:rPr>
          <w:lang w:val="fr-FR"/>
        </w:rPr>
        <w:t>Nucléaire (IRSN)</w:t>
      </w:r>
    </w:p>
    <w:p w14:paraId="7834CD95" w14:textId="77516C9C" w:rsidR="00F842ED" w:rsidRPr="00E85EBF" w:rsidRDefault="00F842ED" w:rsidP="00F842ED">
      <w:pPr>
        <w:jc w:val="center"/>
        <w:rPr>
          <w:lang w:val="fr-FR"/>
        </w:rPr>
      </w:pPr>
      <w:r>
        <w:rPr>
          <w:lang w:val="fr-FR"/>
        </w:rPr>
        <w:t xml:space="preserve">PSN-RES/SAM, </w:t>
      </w:r>
      <w:r w:rsidRPr="00E85EBF">
        <w:rPr>
          <w:lang w:val="fr-FR"/>
        </w:rPr>
        <w:t>Fontenay Aux Roses</w:t>
      </w:r>
      <w:r w:rsidR="00F75B4D">
        <w:rPr>
          <w:lang w:val="fr-FR"/>
        </w:rPr>
        <w:t>, France</w:t>
      </w:r>
    </w:p>
    <w:p w14:paraId="1CBFD6C6" w14:textId="77777777" w:rsidR="00F842ED" w:rsidRPr="00C21323" w:rsidRDefault="00427A21" w:rsidP="00F842ED">
      <w:pPr>
        <w:jc w:val="center"/>
      </w:pPr>
      <w:hyperlink r:id="rId12" w:history="1">
        <w:r w:rsidR="00F842ED" w:rsidRPr="00C21323">
          <w:rPr>
            <w:rStyle w:val="Hyperlink"/>
          </w:rPr>
          <w:t>ahmed.bentaib@irsn.fr</w:t>
        </w:r>
      </w:hyperlink>
      <w:r w:rsidR="00F842ED" w:rsidRPr="00C21323">
        <w:t xml:space="preserve"> </w:t>
      </w:r>
    </w:p>
    <w:p w14:paraId="069F3756" w14:textId="77777777" w:rsidR="00F842ED" w:rsidRPr="00C21323" w:rsidRDefault="00F842ED" w:rsidP="00F842ED">
      <w:pPr>
        <w:jc w:val="center"/>
        <w:rPr>
          <w:b/>
          <w:szCs w:val="24"/>
        </w:rPr>
      </w:pPr>
    </w:p>
    <w:p w14:paraId="251A83B5" w14:textId="77777777" w:rsidR="00F842ED" w:rsidRPr="0041127F" w:rsidRDefault="00F842ED" w:rsidP="00F842ED">
      <w:pPr>
        <w:jc w:val="center"/>
        <w:rPr>
          <w:b/>
        </w:rPr>
      </w:pPr>
      <w:r w:rsidRPr="0041127F">
        <w:rPr>
          <w:b/>
        </w:rPr>
        <w:t>Martina Adorni, Didier Jacquemain</w:t>
      </w:r>
    </w:p>
    <w:p w14:paraId="053B89B4" w14:textId="77777777" w:rsidR="00F842ED" w:rsidRDefault="00F842ED" w:rsidP="00F842ED">
      <w:pPr>
        <w:jc w:val="center"/>
      </w:pPr>
      <w:r>
        <w:t xml:space="preserve">OECD Nuclear Energy Agency (NEA) </w:t>
      </w:r>
    </w:p>
    <w:p w14:paraId="581E74CA" w14:textId="77777777" w:rsidR="00F842ED" w:rsidRPr="00FD3CA8" w:rsidRDefault="00F842ED" w:rsidP="00F842ED">
      <w:pPr>
        <w:jc w:val="center"/>
        <w:rPr>
          <w:lang w:val="fr-FR"/>
        </w:rPr>
      </w:pPr>
      <w:r w:rsidRPr="00FD3CA8">
        <w:rPr>
          <w:lang w:val="fr-FR"/>
        </w:rPr>
        <w:t>46, quai Alphonse Le Gallo, 92100 Boulogne-Billancourt, France</w:t>
      </w:r>
    </w:p>
    <w:p w14:paraId="23733E47" w14:textId="77777777" w:rsidR="00F842ED" w:rsidRPr="00C21323" w:rsidRDefault="00427A21" w:rsidP="00F842ED">
      <w:pPr>
        <w:jc w:val="center"/>
        <w:rPr>
          <w:b/>
          <w:sz w:val="22"/>
          <w:szCs w:val="22"/>
        </w:rPr>
      </w:pPr>
      <w:hyperlink r:id="rId13" w:history="1">
        <w:r w:rsidR="00F842ED" w:rsidRPr="00C21323">
          <w:rPr>
            <w:rStyle w:val="Hyperlink"/>
          </w:rPr>
          <w:t>martina.adorni@oecd-nea.org</w:t>
        </w:r>
      </w:hyperlink>
      <w:r w:rsidR="00F842ED" w:rsidRPr="00C21323">
        <w:t xml:space="preserve"> </w:t>
      </w:r>
    </w:p>
    <w:p w14:paraId="1EADBCC0" w14:textId="77777777" w:rsidR="00781B6A" w:rsidRPr="00C21323" w:rsidRDefault="00781B6A">
      <w:pPr>
        <w:jc w:val="center"/>
        <w:rPr>
          <w:i/>
          <w:iCs/>
        </w:rPr>
      </w:pPr>
    </w:p>
    <w:p w14:paraId="0A2EE393" w14:textId="77777777" w:rsidR="00781B6A" w:rsidRPr="00C21323" w:rsidRDefault="00781B6A"/>
    <w:p w14:paraId="4216D385" w14:textId="08680B68" w:rsidR="00F842ED" w:rsidRPr="00F842ED" w:rsidRDefault="00781B6A" w:rsidP="00F842ED">
      <w:pPr>
        <w:pStyle w:val="Author"/>
        <w:ind w:left="1080" w:right="1080"/>
        <w:jc w:val="both"/>
        <w:rPr>
          <w:rFonts w:ascii="Times New Roman" w:hAnsi="Times New Roman"/>
          <w:b w:val="0"/>
          <w:bCs/>
          <w:i/>
          <w:iCs/>
          <w:sz w:val="22"/>
          <w:szCs w:val="22"/>
        </w:rPr>
      </w:pPr>
      <w:r w:rsidRPr="00BB7497">
        <w:rPr>
          <w:rFonts w:ascii="Times New Roman" w:hAnsi="Times New Roman"/>
          <w:bCs/>
          <w:sz w:val="22"/>
          <w:szCs w:val="22"/>
        </w:rPr>
        <w:t xml:space="preserve">Abstract – </w:t>
      </w:r>
      <w:r w:rsidR="00F842ED" w:rsidRPr="00F842ED">
        <w:rPr>
          <w:rFonts w:ascii="Times New Roman" w:hAnsi="Times New Roman"/>
          <w:b w:val="0"/>
          <w:bCs/>
          <w:i/>
          <w:iCs/>
          <w:sz w:val="22"/>
          <w:szCs w:val="22"/>
        </w:rPr>
        <w:t xml:space="preserve">The Working Group on Analysis and Management of Accidents (WGAMA) </w:t>
      </w:r>
      <w:r w:rsidR="002569B6">
        <w:rPr>
          <w:rFonts w:ascii="Times New Roman" w:hAnsi="Times New Roman"/>
          <w:b w:val="0"/>
          <w:bCs/>
          <w:i/>
          <w:iCs/>
          <w:sz w:val="22"/>
          <w:szCs w:val="22"/>
        </w:rPr>
        <w:t xml:space="preserve">of the </w:t>
      </w:r>
      <w:r w:rsidR="002569B6" w:rsidRPr="00F842ED">
        <w:rPr>
          <w:rFonts w:ascii="Times New Roman" w:hAnsi="Times New Roman"/>
          <w:b w:val="0"/>
          <w:bCs/>
          <w:i/>
          <w:iCs/>
          <w:sz w:val="22"/>
          <w:szCs w:val="22"/>
        </w:rPr>
        <w:t xml:space="preserve">OECD Nuclear Energy Agency (NEA) </w:t>
      </w:r>
      <w:r w:rsidR="00F842ED" w:rsidRPr="00F842ED">
        <w:rPr>
          <w:rFonts w:ascii="Times New Roman" w:hAnsi="Times New Roman"/>
          <w:b w:val="0"/>
          <w:bCs/>
          <w:i/>
          <w:iCs/>
          <w:sz w:val="22"/>
          <w:szCs w:val="22"/>
        </w:rPr>
        <w:t xml:space="preserve">addresses activities in the three technical fields of thermal-hydraulics (T/Hs), computational fluid dynamics (CFD) and severe accidents (SAs) related to safety aspects of potential accidental situations in nuclear power plants (NPPs). </w:t>
      </w:r>
      <w:r w:rsidR="002569B6">
        <w:rPr>
          <w:rFonts w:ascii="Times New Roman" w:hAnsi="Times New Roman"/>
          <w:b w:val="0"/>
          <w:bCs/>
          <w:i/>
          <w:iCs/>
          <w:sz w:val="22"/>
          <w:szCs w:val="22"/>
        </w:rPr>
        <w:t xml:space="preserve">The </w:t>
      </w:r>
      <w:r w:rsidR="00F842ED" w:rsidRPr="00F842ED">
        <w:rPr>
          <w:rFonts w:ascii="Times New Roman" w:hAnsi="Times New Roman"/>
          <w:b w:val="0"/>
          <w:bCs/>
          <w:i/>
          <w:iCs/>
          <w:sz w:val="22"/>
          <w:szCs w:val="22"/>
        </w:rPr>
        <w:t>WGAMA assess</w:t>
      </w:r>
      <w:r w:rsidR="00C9322D">
        <w:rPr>
          <w:rFonts w:ascii="Times New Roman" w:hAnsi="Times New Roman"/>
          <w:b w:val="0"/>
          <w:bCs/>
          <w:i/>
          <w:iCs/>
          <w:sz w:val="22"/>
          <w:szCs w:val="22"/>
        </w:rPr>
        <w:t>es</w:t>
      </w:r>
      <w:r w:rsidR="00F842ED" w:rsidRPr="00F842ED">
        <w:rPr>
          <w:rFonts w:ascii="Times New Roman" w:hAnsi="Times New Roman"/>
          <w:b w:val="0"/>
          <w:bCs/>
          <w:i/>
          <w:iCs/>
          <w:sz w:val="22"/>
          <w:szCs w:val="22"/>
        </w:rPr>
        <w:t xml:space="preserve"> and</w:t>
      </w:r>
      <w:r w:rsidR="003609AA">
        <w:rPr>
          <w:rFonts w:ascii="Times New Roman" w:hAnsi="Times New Roman"/>
          <w:b w:val="0"/>
          <w:bCs/>
          <w:i/>
          <w:iCs/>
          <w:sz w:val="22"/>
          <w:szCs w:val="22"/>
        </w:rPr>
        <w:t xml:space="preserve"> </w:t>
      </w:r>
      <w:r w:rsidR="00F842ED" w:rsidRPr="00F842ED">
        <w:rPr>
          <w:rFonts w:ascii="Times New Roman" w:hAnsi="Times New Roman"/>
          <w:b w:val="0"/>
          <w:bCs/>
          <w:i/>
          <w:iCs/>
          <w:sz w:val="22"/>
          <w:szCs w:val="22"/>
        </w:rPr>
        <w:t>strengthen</w:t>
      </w:r>
      <w:r w:rsidR="00C9322D">
        <w:rPr>
          <w:rFonts w:ascii="Times New Roman" w:hAnsi="Times New Roman"/>
          <w:b w:val="0"/>
          <w:bCs/>
          <w:i/>
          <w:iCs/>
          <w:sz w:val="22"/>
          <w:szCs w:val="22"/>
        </w:rPr>
        <w:t>s</w:t>
      </w:r>
      <w:r w:rsidR="00F842ED" w:rsidRPr="00F842ED">
        <w:rPr>
          <w:rFonts w:ascii="Times New Roman" w:hAnsi="Times New Roman"/>
          <w:b w:val="0"/>
          <w:bCs/>
          <w:i/>
          <w:iCs/>
          <w:sz w:val="22"/>
          <w:szCs w:val="22"/>
        </w:rPr>
        <w:t xml:space="preserve"> the technical basis needed for the prevention, mitigation and management of potential accidents in nuclear reactors and related technologies, and facilitate</w:t>
      </w:r>
      <w:r w:rsidR="00C9322D">
        <w:rPr>
          <w:rFonts w:ascii="Times New Roman" w:hAnsi="Times New Roman"/>
          <w:b w:val="0"/>
          <w:bCs/>
          <w:i/>
          <w:iCs/>
          <w:sz w:val="22"/>
          <w:szCs w:val="22"/>
        </w:rPr>
        <w:t>s</w:t>
      </w:r>
      <w:r w:rsidR="00F842ED" w:rsidRPr="00F842ED">
        <w:rPr>
          <w:rFonts w:ascii="Times New Roman" w:hAnsi="Times New Roman"/>
          <w:b w:val="0"/>
          <w:bCs/>
          <w:i/>
          <w:iCs/>
          <w:sz w:val="22"/>
          <w:szCs w:val="22"/>
        </w:rPr>
        <w:t xml:space="preserve"> international convergence on safety issues, safety assessments</w:t>
      </w:r>
      <w:r w:rsidR="00F84C7E">
        <w:rPr>
          <w:rFonts w:ascii="Times New Roman" w:hAnsi="Times New Roman"/>
          <w:b w:val="0"/>
          <w:bCs/>
          <w:i/>
          <w:iCs/>
          <w:sz w:val="22"/>
          <w:szCs w:val="22"/>
        </w:rPr>
        <w:t xml:space="preserve"> methods </w:t>
      </w:r>
      <w:r w:rsidR="00F842ED" w:rsidRPr="00F842ED">
        <w:rPr>
          <w:rFonts w:ascii="Times New Roman" w:hAnsi="Times New Roman"/>
          <w:b w:val="0"/>
          <w:bCs/>
          <w:i/>
          <w:iCs/>
          <w:sz w:val="22"/>
          <w:szCs w:val="22"/>
        </w:rPr>
        <w:t>and accident management (AM) measures and strategies.</w:t>
      </w:r>
      <w:r w:rsidR="00C9322D">
        <w:rPr>
          <w:rFonts w:ascii="Times New Roman" w:hAnsi="Times New Roman"/>
          <w:b w:val="0"/>
          <w:bCs/>
          <w:i/>
          <w:iCs/>
          <w:sz w:val="22"/>
          <w:szCs w:val="22"/>
        </w:rPr>
        <w:t xml:space="preserve"> </w:t>
      </w:r>
      <w:r w:rsidR="00F842ED" w:rsidRPr="00F842ED">
        <w:rPr>
          <w:rFonts w:ascii="Times New Roman" w:hAnsi="Times New Roman"/>
          <w:b w:val="0"/>
          <w:bCs/>
          <w:i/>
          <w:iCs/>
          <w:sz w:val="22"/>
          <w:szCs w:val="22"/>
        </w:rPr>
        <w:t>Th</w:t>
      </w:r>
      <w:r w:rsidR="00C9322D">
        <w:rPr>
          <w:rFonts w:ascii="Times New Roman" w:hAnsi="Times New Roman"/>
          <w:b w:val="0"/>
          <w:bCs/>
          <w:i/>
          <w:iCs/>
          <w:sz w:val="22"/>
          <w:szCs w:val="22"/>
        </w:rPr>
        <w:t>is</w:t>
      </w:r>
      <w:r w:rsidR="00F842ED" w:rsidRPr="00F842ED">
        <w:rPr>
          <w:rFonts w:ascii="Times New Roman" w:hAnsi="Times New Roman"/>
          <w:b w:val="0"/>
          <w:bCs/>
          <w:i/>
          <w:iCs/>
          <w:sz w:val="22"/>
          <w:szCs w:val="22"/>
        </w:rPr>
        <w:t xml:space="preserve"> paper aims to review and summarize the recent WGAMA activities and outcomes by focusing on T/H analysis of water-cooled nuclear reactors and possible applications to advanced designs,</w:t>
      </w:r>
      <w:r w:rsidR="00F40096">
        <w:rPr>
          <w:rFonts w:ascii="Times New Roman" w:hAnsi="Times New Roman"/>
          <w:b w:val="0"/>
          <w:bCs/>
          <w:i/>
          <w:iCs/>
          <w:sz w:val="22"/>
          <w:szCs w:val="22"/>
        </w:rPr>
        <w:t xml:space="preserve"> featur</w:t>
      </w:r>
      <w:r w:rsidR="00F842ED" w:rsidRPr="00F842ED">
        <w:rPr>
          <w:rFonts w:ascii="Times New Roman" w:hAnsi="Times New Roman"/>
          <w:b w:val="0"/>
          <w:bCs/>
          <w:i/>
          <w:iCs/>
          <w:sz w:val="22"/>
          <w:szCs w:val="22"/>
        </w:rPr>
        <w:t>ing CFD applications to nuclear reactor safety</w:t>
      </w:r>
      <w:r w:rsidR="0019260D">
        <w:rPr>
          <w:rFonts w:ascii="Times New Roman" w:hAnsi="Times New Roman"/>
          <w:b w:val="0"/>
          <w:bCs/>
          <w:i/>
          <w:iCs/>
          <w:sz w:val="22"/>
          <w:szCs w:val="22"/>
        </w:rPr>
        <w:t xml:space="preserve"> (NRS)</w:t>
      </w:r>
      <w:r w:rsidR="00F842ED" w:rsidRPr="00F842ED">
        <w:rPr>
          <w:rFonts w:ascii="Times New Roman" w:hAnsi="Times New Roman"/>
          <w:b w:val="0"/>
          <w:bCs/>
          <w:i/>
          <w:iCs/>
          <w:sz w:val="22"/>
          <w:szCs w:val="22"/>
        </w:rPr>
        <w:t xml:space="preserve">. </w:t>
      </w:r>
    </w:p>
    <w:p w14:paraId="43DD3F5E" w14:textId="50992E65" w:rsidR="00781B6A" w:rsidRPr="00BB7497" w:rsidRDefault="00F842ED" w:rsidP="00F842ED">
      <w:pPr>
        <w:pStyle w:val="Author"/>
        <w:ind w:left="1080" w:right="1080"/>
        <w:jc w:val="both"/>
        <w:rPr>
          <w:rFonts w:ascii="Times New Roman" w:hAnsi="Times New Roman"/>
          <w:b w:val="0"/>
          <w:bCs/>
          <w:i/>
          <w:iCs/>
          <w:sz w:val="22"/>
          <w:szCs w:val="22"/>
        </w:rPr>
      </w:pPr>
      <w:r w:rsidRPr="00F842ED">
        <w:rPr>
          <w:rFonts w:ascii="Times New Roman" w:hAnsi="Times New Roman"/>
          <w:b w:val="0"/>
          <w:bCs/>
          <w:i/>
          <w:iCs/>
          <w:sz w:val="22"/>
          <w:szCs w:val="22"/>
        </w:rPr>
        <w:t>Th</w:t>
      </w:r>
      <w:r w:rsidR="007E48E7">
        <w:rPr>
          <w:rFonts w:ascii="Times New Roman" w:hAnsi="Times New Roman"/>
          <w:b w:val="0"/>
          <w:bCs/>
          <w:i/>
          <w:iCs/>
          <w:sz w:val="22"/>
          <w:szCs w:val="22"/>
        </w:rPr>
        <w:t>is</w:t>
      </w:r>
      <w:r w:rsidRPr="00F842ED">
        <w:rPr>
          <w:rFonts w:ascii="Times New Roman" w:hAnsi="Times New Roman"/>
          <w:b w:val="0"/>
          <w:bCs/>
          <w:i/>
          <w:iCs/>
          <w:sz w:val="22"/>
          <w:szCs w:val="22"/>
        </w:rPr>
        <w:t xml:space="preserve"> paper also describe</w:t>
      </w:r>
      <w:r w:rsidR="00C9322D">
        <w:rPr>
          <w:rFonts w:ascii="Times New Roman" w:hAnsi="Times New Roman"/>
          <w:b w:val="0"/>
          <w:bCs/>
          <w:i/>
          <w:iCs/>
          <w:sz w:val="22"/>
          <w:szCs w:val="22"/>
        </w:rPr>
        <w:t>s</w:t>
      </w:r>
      <w:r w:rsidRPr="00F842ED">
        <w:rPr>
          <w:rFonts w:ascii="Times New Roman" w:hAnsi="Times New Roman"/>
          <w:b w:val="0"/>
          <w:bCs/>
          <w:i/>
          <w:iCs/>
          <w:sz w:val="22"/>
          <w:szCs w:val="22"/>
        </w:rPr>
        <w:t xml:space="preserve"> benefits from, and opportunities for, </w:t>
      </w:r>
      <w:r w:rsidR="00F40096">
        <w:rPr>
          <w:rFonts w:ascii="Times New Roman" w:hAnsi="Times New Roman"/>
          <w:b w:val="0"/>
          <w:bCs/>
          <w:i/>
          <w:iCs/>
          <w:sz w:val="22"/>
          <w:szCs w:val="22"/>
        </w:rPr>
        <w:t xml:space="preserve">the </w:t>
      </w:r>
      <w:r w:rsidRPr="00F842ED">
        <w:rPr>
          <w:rFonts w:ascii="Times New Roman" w:hAnsi="Times New Roman"/>
          <w:b w:val="0"/>
          <w:bCs/>
          <w:i/>
          <w:iCs/>
          <w:sz w:val="22"/>
          <w:szCs w:val="22"/>
        </w:rPr>
        <w:t xml:space="preserve">NEA Joint Safety Research Projects (JPs) which aim to enhance the technical bases </w:t>
      </w:r>
      <w:r w:rsidR="00F84C7E">
        <w:rPr>
          <w:rFonts w:ascii="Times New Roman" w:hAnsi="Times New Roman"/>
          <w:b w:val="0"/>
          <w:bCs/>
          <w:i/>
          <w:iCs/>
          <w:sz w:val="22"/>
          <w:szCs w:val="22"/>
        </w:rPr>
        <w:t xml:space="preserve">for </w:t>
      </w:r>
      <w:r w:rsidRPr="00F842ED">
        <w:rPr>
          <w:rFonts w:ascii="Times New Roman" w:hAnsi="Times New Roman"/>
          <w:b w:val="0"/>
          <w:bCs/>
          <w:i/>
          <w:iCs/>
          <w:sz w:val="22"/>
          <w:szCs w:val="22"/>
        </w:rPr>
        <w:t xml:space="preserve">accident </w:t>
      </w:r>
      <w:r w:rsidR="00F84C7E">
        <w:rPr>
          <w:rFonts w:ascii="Times New Roman" w:hAnsi="Times New Roman"/>
          <w:b w:val="0"/>
          <w:bCs/>
          <w:i/>
          <w:iCs/>
          <w:sz w:val="22"/>
          <w:szCs w:val="22"/>
        </w:rPr>
        <w:t xml:space="preserve">analyses </w:t>
      </w:r>
      <w:r w:rsidR="00495218">
        <w:rPr>
          <w:rFonts w:ascii="Times New Roman" w:hAnsi="Times New Roman"/>
          <w:b w:val="0"/>
          <w:bCs/>
          <w:i/>
          <w:iCs/>
          <w:sz w:val="22"/>
          <w:szCs w:val="22"/>
        </w:rPr>
        <w:t>with</w:t>
      </w:r>
      <w:r w:rsidRPr="00F842ED">
        <w:rPr>
          <w:rFonts w:ascii="Times New Roman" w:hAnsi="Times New Roman"/>
          <w:b w:val="0"/>
          <w:bCs/>
          <w:i/>
          <w:iCs/>
          <w:sz w:val="22"/>
          <w:szCs w:val="22"/>
        </w:rPr>
        <w:t xml:space="preserve"> </w:t>
      </w:r>
      <w:r w:rsidR="007E48E7">
        <w:rPr>
          <w:rFonts w:ascii="Times New Roman" w:hAnsi="Times New Roman"/>
          <w:b w:val="0"/>
          <w:bCs/>
          <w:i/>
          <w:iCs/>
          <w:sz w:val="22"/>
          <w:szCs w:val="22"/>
        </w:rPr>
        <w:t xml:space="preserve">validation of </w:t>
      </w:r>
      <w:r w:rsidR="009F7DFD">
        <w:rPr>
          <w:rFonts w:ascii="Times New Roman" w:hAnsi="Times New Roman"/>
          <w:b w:val="0"/>
          <w:bCs/>
          <w:i/>
          <w:iCs/>
          <w:sz w:val="22"/>
          <w:szCs w:val="22"/>
        </w:rPr>
        <w:t>T/H</w:t>
      </w:r>
      <w:r w:rsidR="002569B6" w:rsidRPr="002569B6">
        <w:rPr>
          <w:rFonts w:ascii="Times New Roman" w:hAnsi="Times New Roman"/>
          <w:b w:val="0"/>
          <w:bCs/>
          <w:i/>
          <w:iCs/>
          <w:sz w:val="22"/>
          <w:szCs w:val="22"/>
        </w:rPr>
        <w:t xml:space="preserve"> </w:t>
      </w:r>
      <w:r w:rsidR="002569B6">
        <w:rPr>
          <w:rFonts w:ascii="Times New Roman" w:hAnsi="Times New Roman"/>
          <w:b w:val="0"/>
          <w:bCs/>
          <w:i/>
          <w:iCs/>
          <w:sz w:val="22"/>
          <w:szCs w:val="22"/>
        </w:rPr>
        <w:t>and CFD</w:t>
      </w:r>
      <w:r w:rsidR="009F7DFD">
        <w:rPr>
          <w:rFonts w:ascii="Times New Roman" w:hAnsi="Times New Roman"/>
          <w:b w:val="0"/>
          <w:bCs/>
          <w:i/>
          <w:iCs/>
          <w:sz w:val="22"/>
          <w:szCs w:val="22"/>
        </w:rPr>
        <w:t xml:space="preserve"> </w:t>
      </w:r>
      <w:r w:rsidR="001529F4">
        <w:rPr>
          <w:rFonts w:ascii="Times New Roman" w:hAnsi="Times New Roman"/>
          <w:b w:val="0"/>
          <w:bCs/>
          <w:i/>
          <w:iCs/>
          <w:sz w:val="22"/>
          <w:szCs w:val="22"/>
        </w:rPr>
        <w:t xml:space="preserve">computer </w:t>
      </w:r>
      <w:r w:rsidR="009F7DFD">
        <w:rPr>
          <w:rFonts w:ascii="Times New Roman" w:hAnsi="Times New Roman"/>
          <w:b w:val="0"/>
          <w:bCs/>
          <w:i/>
          <w:iCs/>
          <w:sz w:val="22"/>
          <w:szCs w:val="22"/>
        </w:rPr>
        <w:t>codes</w:t>
      </w:r>
      <w:r w:rsidRPr="00F842ED">
        <w:rPr>
          <w:rFonts w:ascii="Times New Roman" w:hAnsi="Times New Roman"/>
          <w:b w:val="0"/>
          <w:bCs/>
          <w:i/>
          <w:iCs/>
          <w:sz w:val="22"/>
          <w:szCs w:val="22"/>
        </w:rPr>
        <w:t>,</w:t>
      </w:r>
      <w:r w:rsidR="009F7DFD">
        <w:rPr>
          <w:rFonts w:ascii="Times New Roman" w:hAnsi="Times New Roman"/>
          <w:b w:val="0"/>
          <w:bCs/>
          <w:i/>
          <w:iCs/>
          <w:sz w:val="22"/>
          <w:szCs w:val="22"/>
        </w:rPr>
        <w:t xml:space="preserve"> </w:t>
      </w:r>
      <w:r w:rsidRPr="00F842ED">
        <w:rPr>
          <w:rFonts w:ascii="Times New Roman" w:hAnsi="Times New Roman"/>
          <w:b w:val="0"/>
          <w:bCs/>
          <w:i/>
          <w:iCs/>
          <w:sz w:val="22"/>
          <w:szCs w:val="22"/>
        </w:rPr>
        <w:t xml:space="preserve">with performing series of </w:t>
      </w:r>
      <w:r w:rsidR="00C9322D">
        <w:rPr>
          <w:rFonts w:ascii="Times New Roman" w:hAnsi="Times New Roman"/>
          <w:b w:val="0"/>
          <w:bCs/>
          <w:i/>
          <w:iCs/>
          <w:sz w:val="22"/>
          <w:szCs w:val="22"/>
        </w:rPr>
        <w:t>separate-effect tests (</w:t>
      </w:r>
      <w:r w:rsidRPr="00F842ED">
        <w:rPr>
          <w:rFonts w:ascii="Times New Roman" w:hAnsi="Times New Roman"/>
          <w:b w:val="0"/>
          <w:bCs/>
          <w:i/>
          <w:iCs/>
          <w:sz w:val="22"/>
          <w:szCs w:val="22"/>
        </w:rPr>
        <w:t>SETs</w:t>
      </w:r>
      <w:r w:rsidR="00C9322D">
        <w:rPr>
          <w:rFonts w:ascii="Times New Roman" w:hAnsi="Times New Roman"/>
          <w:b w:val="0"/>
          <w:bCs/>
          <w:i/>
          <w:iCs/>
          <w:sz w:val="22"/>
          <w:szCs w:val="22"/>
        </w:rPr>
        <w:t>)</w:t>
      </w:r>
      <w:r w:rsidRPr="00F842ED">
        <w:rPr>
          <w:rFonts w:ascii="Times New Roman" w:hAnsi="Times New Roman"/>
          <w:b w:val="0"/>
          <w:bCs/>
          <w:i/>
          <w:iCs/>
          <w:sz w:val="22"/>
          <w:szCs w:val="22"/>
        </w:rPr>
        <w:t xml:space="preserve"> </w:t>
      </w:r>
      <w:r w:rsidR="00C9322D">
        <w:rPr>
          <w:rFonts w:ascii="Times New Roman" w:hAnsi="Times New Roman"/>
          <w:b w:val="0"/>
          <w:bCs/>
          <w:i/>
          <w:iCs/>
          <w:sz w:val="22"/>
          <w:szCs w:val="22"/>
        </w:rPr>
        <w:t>and/</w:t>
      </w:r>
      <w:r w:rsidRPr="00F842ED">
        <w:rPr>
          <w:rFonts w:ascii="Times New Roman" w:hAnsi="Times New Roman"/>
          <w:b w:val="0"/>
          <w:bCs/>
          <w:i/>
          <w:iCs/>
          <w:sz w:val="22"/>
          <w:szCs w:val="22"/>
        </w:rPr>
        <w:t xml:space="preserve">or </w:t>
      </w:r>
      <w:r w:rsidR="00C9322D">
        <w:rPr>
          <w:rFonts w:ascii="Times New Roman" w:hAnsi="Times New Roman"/>
          <w:b w:val="0"/>
          <w:bCs/>
          <w:i/>
          <w:iCs/>
          <w:sz w:val="22"/>
          <w:szCs w:val="22"/>
        </w:rPr>
        <w:t>integral-effect tests (</w:t>
      </w:r>
      <w:r w:rsidRPr="00F842ED">
        <w:rPr>
          <w:rFonts w:ascii="Times New Roman" w:hAnsi="Times New Roman"/>
          <w:b w:val="0"/>
          <w:bCs/>
          <w:i/>
          <w:iCs/>
          <w:sz w:val="22"/>
          <w:szCs w:val="22"/>
        </w:rPr>
        <w:t>IETs</w:t>
      </w:r>
      <w:r w:rsidR="00C9322D">
        <w:rPr>
          <w:rFonts w:ascii="Times New Roman" w:hAnsi="Times New Roman"/>
          <w:b w:val="0"/>
          <w:bCs/>
          <w:i/>
          <w:iCs/>
          <w:sz w:val="22"/>
          <w:szCs w:val="22"/>
        </w:rPr>
        <w:t>)</w:t>
      </w:r>
      <w:r w:rsidRPr="00F842ED">
        <w:rPr>
          <w:rFonts w:ascii="Times New Roman" w:hAnsi="Times New Roman"/>
          <w:b w:val="0"/>
          <w:bCs/>
          <w:i/>
          <w:iCs/>
          <w:sz w:val="22"/>
          <w:szCs w:val="22"/>
        </w:rPr>
        <w:t xml:space="preserve">. </w:t>
      </w:r>
      <w:r w:rsidR="002569B6">
        <w:rPr>
          <w:rFonts w:ascii="Times New Roman" w:hAnsi="Times New Roman"/>
          <w:b w:val="0"/>
          <w:bCs/>
          <w:i/>
          <w:iCs/>
          <w:sz w:val="22"/>
          <w:szCs w:val="22"/>
        </w:rPr>
        <w:t xml:space="preserve">The </w:t>
      </w:r>
      <w:r w:rsidR="007E48E7">
        <w:rPr>
          <w:rFonts w:ascii="Times New Roman" w:hAnsi="Times New Roman"/>
          <w:b w:val="0"/>
          <w:bCs/>
          <w:i/>
          <w:iCs/>
          <w:sz w:val="22"/>
          <w:szCs w:val="22"/>
        </w:rPr>
        <w:t>JP</w:t>
      </w:r>
      <w:r w:rsidRPr="00F842ED">
        <w:rPr>
          <w:rFonts w:ascii="Times New Roman" w:hAnsi="Times New Roman"/>
          <w:b w:val="0"/>
          <w:bCs/>
          <w:i/>
          <w:iCs/>
          <w:sz w:val="22"/>
          <w:szCs w:val="22"/>
        </w:rPr>
        <w:t>s contribute</w:t>
      </w:r>
      <w:r w:rsidR="002569B6">
        <w:rPr>
          <w:rFonts w:ascii="Times New Roman" w:hAnsi="Times New Roman"/>
          <w:b w:val="0"/>
          <w:bCs/>
          <w:i/>
          <w:iCs/>
          <w:sz w:val="22"/>
          <w:szCs w:val="22"/>
        </w:rPr>
        <w:t xml:space="preserve"> further</w:t>
      </w:r>
      <w:r w:rsidRPr="00F842ED">
        <w:rPr>
          <w:rFonts w:ascii="Times New Roman" w:hAnsi="Times New Roman"/>
          <w:b w:val="0"/>
          <w:bCs/>
          <w:i/>
          <w:iCs/>
          <w:sz w:val="22"/>
          <w:szCs w:val="22"/>
        </w:rPr>
        <w:t xml:space="preserve"> to the development and preservation of key technical capabilities, research infrastructure and expertise in participating organizations/countries</w:t>
      </w:r>
      <w:r w:rsidR="007E48E7">
        <w:rPr>
          <w:rFonts w:ascii="Times New Roman" w:hAnsi="Times New Roman"/>
          <w:b w:val="0"/>
          <w:bCs/>
          <w:i/>
          <w:iCs/>
          <w:sz w:val="22"/>
          <w:szCs w:val="22"/>
        </w:rPr>
        <w:t>, and</w:t>
      </w:r>
      <w:r w:rsidRPr="00F842ED">
        <w:rPr>
          <w:rFonts w:ascii="Times New Roman" w:hAnsi="Times New Roman"/>
          <w:b w:val="0"/>
          <w:bCs/>
          <w:i/>
          <w:iCs/>
          <w:sz w:val="22"/>
          <w:szCs w:val="22"/>
        </w:rPr>
        <w:t xml:space="preserve"> to education and training of the future generation of nuclear safety experts</w:t>
      </w:r>
      <w:r w:rsidR="006B08A5" w:rsidRPr="000F1AFE">
        <w:rPr>
          <w:rFonts w:ascii="Times New Roman" w:hAnsi="Times New Roman"/>
          <w:b w:val="0"/>
          <w:bCs/>
          <w:i/>
          <w:iCs/>
          <w:sz w:val="22"/>
          <w:szCs w:val="22"/>
        </w:rPr>
        <w:t>, both</w:t>
      </w:r>
      <w:r w:rsidR="001529F4" w:rsidRPr="000F1AFE">
        <w:rPr>
          <w:rFonts w:ascii="Times New Roman" w:hAnsi="Times New Roman"/>
          <w:b w:val="0"/>
          <w:bCs/>
          <w:i/>
          <w:iCs/>
          <w:sz w:val="22"/>
          <w:szCs w:val="22"/>
        </w:rPr>
        <w:t xml:space="preserve"> with </w:t>
      </w:r>
      <w:r w:rsidR="006B08A5" w:rsidRPr="00C21323">
        <w:rPr>
          <w:rFonts w:ascii="Times New Roman" w:hAnsi="Times New Roman"/>
          <w:b w:val="0"/>
          <w:bCs/>
          <w:i/>
          <w:iCs/>
          <w:sz w:val="22"/>
          <w:szCs w:val="22"/>
        </w:rPr>
        <w:t xml:space="preserve">WGAMA </w:t>
      </w:r>
      <w:r w:rsidR="001529F4" w:rsidRPr="000F1AFE">
        <w:rPr>
          <w:rFonts w:ascii="Times New Roman" w:hAnsi="Times New Roman"/>
          <w:b w:val="0"/>
          <w:bCs/>
          <w:i/>
          <w:iCs/>
          <w:sz w:val="22"/>
          <w:szCs w:val="22"/>
        </w:rPr>
        <w:t>cooperation</w:t>
      </w:r>
      <w:r w:rsidRPr="000F1AFE">
        <w:rPr>
          <w:rFonts w:ascii="Times New Roman" w:hAnsi="Times New Roman"/>
          <w:b w:val="0"/>
          <w:bCs/>
          <w:i/>
          <w:iCs/>
          <w:sz w:val="22"/>
          <w:szCs w:val="22"/>
        </w:rPr>
        <w:t>.</w:t>
      </w:r>
    </w:p>
    <w:p w14:paraId="0ED2895C" w14:textId="77777777" w:rsidR="00514AC8" w:rsidRPr="00BB7497" w:rsidRDefault="00514AC8" w:rsidP="00514AC8">
      <w:pPr>
        <w:pStyle w:val="Affiliation"/>
        <w:jc w:val="left"/>
        <w:rPr>
          <w:rFonts w:ascii="Times New Roman" w:hAnsi="Times New Roman"/>
          <w:b/>
          <w:bCs/>
          <w:sz w:val="22"/>
          <w:szCs w:val="22"/>
        </w:rPr>
      </w:pPr>
    </w:p>
    <w:p w14:paraId="11B06446" w14:textId="41B75C87" w:rsidR="00514AC8" w:rsidRPr="00BB7497" w:rsidRDefault="00514AC8" w:rsidP="00514AC8">
      <w:pPr>
        <w:pStyle w:val="Affiliation"/>
        <w:ind w:firstLine="1080"/>
        <w:jc w:val="left"/>
        <w:rPr>
          <w:sz w:val="22"/>
          <w:szCs w:val="22"/>
        </w:rPr>
      </w:pPr>
      <w:r w:rsidRPr="00BB7497">
        <w:rPr>
          <w:rFonts w:ascii="Times New Roman" w:hAnsi="Times New Roman"/>
          <w:b/>
          <w:bCs/>
          <w:sz w:val="22"/>
          <w:szCs w:val="22"/>
        </w:rPr>
        <w:t xml:space="preserve">Keywords: </w:t>
      </w:r>
      <w:r w:rsidR="00F842ED" w:rsidRPr="00F842ED">
        <w:rPr>
          <w:rFonts w:ascii="Times New Roman" w:hAnsi="Times New Roman"/>
          <w:sz w:val="22"/>
          <w:szCs w:val="22"/>
        </w:rPr>
        <w:t>WGAMA, thermal hydraulics analysis, joint safety research projects</w:t>
      </w:r>
    </w:p>
    <w:p w14:paraId="19D4BF22" w14:textId="3BF42B94" w:rsidR="00781B6A" w:rsidRDefault="00781B6A">
      <w:pPr>
        <w:pStyle w:val="Affiliation"/>
      </w:pPr>
    </w:p>
    <w:p w14:paraId="11B547DB" w14:textId="77777777" w:rsidR="00781B6A" w:rsidRDefault="00781B6A">
      <w:pPr>
        <w:pStyle w:val="Affiliation"/>
      </w:pPr>
    </w:p>
    <w:bookmarkEnd w:id="0"/>
    <w:p w14:paraId="7292617D" w14:textId="77777777" w:rsidR="00781B6A" w:rsidRPr="00BB7497" w:rsidRDefault="00781B6A">
      <w:pPr>
        <w:pStyle w:val="Header"/>
        <w:rPr>
          <w:sz w:val="22"/>
          <w:szCs w:val="22"/>
        </w:rPr>
        <w:sectPr w:rsidR="00781B6A" w:rsidRPr="00BB7497">
          <w:headerReference w:type="default" r:id="rId14"/>
          <w:footerReference w:type="default" r:id="rId15"/>
          <w:type w:val="continuous"/>
          <w:pgSz w:w="12240" w:h="15840"/>
          <w:pgMar w:top="1440" w:right="1080" w:bottom="1440" w:left="1080" w:header="432" w:footer="720" w:gutter="0"/>
          <w:cols w:space="720"/>
        </w:sectPr>
      </w:pPr>
    </w:p>
    <w:p w14:paraId="74B2FCCE" w14:textId="7E3F3D05" w:rsidR="00781B6A" w:rsidRPr="00BB7497" w:rsidRDefault="00781B6A" w:rsidP="00E93F48">
      <w:pPr>
        <w:pStyle w:val="AbstractClauseTitle"/>
        <w:jc w:val="left"/>
        <w:rPr>
          <w:rFonts w:ascii="Times New Roman" w:hAnsi="Times New Roman"/>
          <w:sz w:val="22"/>
          <w:szCs w:val="22"/>
        </w:rPr>
      </w:pPr>
      <w:r w:rsidRPr="00BB7497">
        <w:rPr>
          <w:rFonts w:ascii="Times New Roman" w:hAnsi="Times New Roman"/>
          <w:sz w:val="22"/>
          <w:szCs w:val="22"/>
        </w:rPr>
        <w:t xml:space="preserve">I. </w:t>
      </w:r>
      <w:r w:rsidR="00E93F48" w:rsidRPr="00BB7497">
        <w:rPr>
          <w:rFonts w:ascii="Times New Roman" w:hAnsi="Times New Roman"/>
          <w:caps w:val="0"/>
          <w:sz w:val="22"/>
          <w:szCs w:val="22"/>
        </w:rPr>
        <w:t>Introduction</w:t>
      </w:r>
    </w:p>
    <w:p w14:paraId="66A1198C" w14:textId="2807E83F" w:rsidR="00DF734C" w:rsidRDefault="00DF734C" w:rsidP="007720A1">
      <w:pPr>
        <w:pStyle w:val="BodyTextIndent"/>
        <w:rPr>
          <w:sz w:val="22"/>
          <w:szCs w:val="22"/>
          <w:lang w:val="en-GB"/>
        </w:rPr>
      </w:pPr>
      <w:r w:rsidRPr="00DF734C">
        <w:rPr>
          <w:sz w:val="22"/>
          <w:szCs w:val="22"/>
          <w:lang w:val="en-GB"/>
        </w:rPr>
        <w:t>The OECD</w:t>
      </w:r>
      <w:r w:rsidR="007720A1">
        <w:rPr>
          <w:sz w:val="22"/>
          <w:szCs w:val="22"/>
          <w:lang w:val="en-GB"/>
        </w:rPr>
        <w:t>/</w:t>
      </w:r>
      <w:r w:rsidRPr="00DF734C">
        <w:rPr>
          <w:sz w:val="22"/>
          <w:szCs w:val="22"/>
          <w:lang w:val="en-GB"/>
        </w:rPr>
        <w:t xml:space="preserve">NEA is an intergovernmental agency that facilitates co-operation among countries with advanced nuclear technology infrastructures to seek excellence in nuclear safety, technology, science, environment and law. </w:t>
      </w:r>
      <w:r w:rsidR="007720A1">
        <w:rPr>
          <w:sz w:val="22"/>
          <w:szCs w:val="22"/>
          <w:lang w:val="en-GB"/>
        </w:rPr>
        <w:t>Its</w:t>
      </w:r>
      <w:r w:rsidRPr="00DF734C">
        <w:rPr>
          <w:sz w:val="22"/>
          <w:szCs w:val="22"/>
          <w:lang w:val="en-GB"/>
        </w:rPr>
        <w:t xml:space="preserve"> framework of standing </w:t>
      </w:r>
      <w:r w:rsidRPr="00DF734C">
        <w:rPr>
          <w:sz w:val="22"/>
          <w:szCs w:val="22"/>
          <w:lang w:val="en-GB"/>
        </w:rPr>
        <w:t xml:space="preserve">technical committees, joint international undertakings, and Secretariat-serviced, separately-funded bodies allows the Agency to be flexible and responsive. </w:t>
      </w:r>
      <w:r w:rsidR="007720A1">
        <w:rPr>
          <w:sz w:val="22"/>
          <w:szCs w:val="22"/>
          <w:lang w:val="en-GB"/>
        </w:rPr>
        <w:t>Through its</w:t>
      </w:r>
      <w:r w:rsidR="007720A1" w:rsidRPr="00DF734C">
        <w:rPr>
          <w:sz w:val="22"/>
          <w:szCs w:val="22"/>
          <w:lang w:val="en-GB"/>
        </w:rPr>
        <w:t xml:space="preserve"> </w:t>
      </w:r>
      <w:r w:rsidRPr="00DF734C">
        <w:rPr>
          <w:sz w:val="22"/>
          <w:szCs w:val="22"/>
          <w:lang w:val="en-GB"/>
        </w:rPr>
        <w:t xml:space="preserve">60 years of international service, </w:t>
      </w:r>
      <w:r w:rsidR="007720A1">
        <w:rPr>
          <w:sz w:val="22"/>
          <w:szCs w:val="22"/>
          <w:lang w:val="en-GB"/>
        </w:rPr>
        <w:t xml:space="preserve">the </w:t>
      </w:r>
      <w:r w:rsidRPr="00DF734C">
        <w:rPr>
          <w:sz w:val="22"/>
          <w:szCs w:val="22"/>
          <w:lang w:val="en-GB"/>
        </w:rPr>
        <w:t xml:space="preserve">NEA scientific and technical work </w:t>
      </w:r>
      <w:r w:rsidR="007720A1">
        <w:rPr>
          <w:sz w:val="22"/>
          <w:szCs w:val="22"/>
          <w:lang w:val="en-GB"/>
        </w:rPr>
        <w:t>has been</w:t>
      </w:r>
      <w:r w:rsidR="007720A1" w:rsidRPr="00DF734C">
        <w:rPr>
          <w:sz w:val="22"/>
          <w:szCs w:val="22"/>
          <w:lang w:val="en-GB"/>
        </w:rPr>
        <w:t xml:space="preserve"> </w:t>
      </w:r>
      <w:r w:rsidRPr="00DF734C">
        <w:rPr>
          <w:sz w:val="22"/>
          <w:szCs w:val="22"/>
          <w:lang w:val="en-GB"/>
        </w:rPr>
        <w:t xml:space="preserve">at the forefront of knowledge. </w:t>
      </w:r>
      <w:r w:rsidR="0070715B">
        <w:rPr>
          <w:sz w:val="22"/>
          <w:szCs w:val="22"/>
          <w:lang w:val="en-GB"/>
        </w:rPr>
        <w:t>The</w:t>
      </w:r>
      <w:r w:rsidRPr="00DF734C">
        <w:rPr>
          <w:sz w:val="22"/>
          <w:szCs w:val="22"/>
          <w:lang w:val="en-GB"/>
        </w:rPr>
        <w:t xml:space="preserve"> NEA publishes consensus positions </w:t>
      </w:r>
      <w:r w:rsidRPr="00DF734C">
        <w:rPr>
          <w:sz w:val="22"/>
          <w:szCs w:val="22"/>
          <w:lang w:val="en-GB"/>
        </w:rPr>
        <w:lastRenderedPageBreak/>
        <w:t>on key issues to provide credible references and examples of best practice</w:t>
      </w:r>
      <w:r w:rsidR="007720A1">
        <w:rPr>
          <w:sz w:val="22"/>
          <w:szCs w:val="22"/>
          <w:lang w:val="en-GB"/>
        </w:rPr>
        <w:t xml:space="preserve"> based on</w:t>
      </w:r>
      <w:r w:rsidR="007720A1" w:rsidRPr="00DF734C">
        <w:rPr>
          <w:sz w:val="22"/>
          <w:szCs w:val="22"/>
          <w:lang w:val="en-GB"/>
        </w:rPr>
        <w:t xml:space="preserve"> the work of over 70 working parties and expert groups</w:t>
      </w:r>
      <w:r w:rsidRPr="00DF734C">
        <w:rPr>
          <w:sz w:val="22"/>
          <w:szCs w:val="22"/>
          <w:lang w:val="en-GB"/>
        </w:rPr>
        <w:t xml:space="preserve">. </w:t>
      </w:r>
      <w:r w:rsidR="007720A1">
        <w:rPr>
          <w:sz w:val="22"/>
          <w:szCs w:val="22"/>
          <w:lang w:val="en-GB"/>
        </w:rPr>
        <w:t xml:space="preserve">The </w:t>
      </w:r>
      <w:r w:rsidRPr="00DF734C">
        <w:rPr>
          <w:sz w:val="22"/>
          <w:szCs w:val="22"/>
          <w:lang w:val="en-GB"/>
        </w:rPr>
        <w:t xml:space="preserve">NEA </w:t>
      </w:r>
      <w:r w:rsidR="00737653">
        <w:rPr>
          <w:sz w:val="22"/>
          <w:szCs w:val="22"/>
          <w:lang w:val="en-GB"/>
        </w:rPr>
        <w:t>JP</w:t>
      </w:r>
      <w:r w:rsidRPr="00DF734C">
        <w:rPr>
          <w:sz w:val="22"/>
          <w:szCs w:val="22"/>
          <w:lang w:val="en-GB"/>
        </w:rPr>
        <w:t xml:space="preserve">s and information exchange programmes also allow interested members and non-members to join forces in carrying out </w:t>
      </w:r>
      <w:r w:rsidR="007720A1">
        <w:rPr>
          <w:sz w:val="22"/>
          <w:szCs w:val="22"/>
        </w:rPr>
        <w:t xml:space="preserve">international cooperating </w:t>
      </w:r>
      <w:r w:rsidRPr="00DF734C">
        <w:rPr>
          <w:sz w:val="22"/>
          <w:szCs w:val="22"/>
          <w:lang w:val="en-GB"/>
        </w:rPr>
        <w:t xml:space="preserve">research </w:t>
      </w:r>
      <w:r w:rsidR="007720A1" w:rsidRPr="00DF734C">
        <w:rPr>
          <w:sz w:val="22"/>
          <w:szCs w:val="22"/>
          <w:lang w:val="en-GB"/>
        </w:rPr>
        <w:t>pro</w:t>
      </w:r>
      <w:r w:rsidR="007720A1">
        <w:rPr>
          <w:sz w:val="22"/>
          <w:szCs w:val="22"/>
          <w:lang w:val="en-GB"/>
        </w:rPr>
        <w:t>gram</w:t>
      </w:r>
      <w:r w:rsidR="007720A1" w:rsidRPr="00DF734C">
        <w:rPr>
          <w:sz w:val="22"/>
          <w:szCs w:val="22"/>
          <w:lang w:val="en-GB"/>
        </w:rPr>
        <w:t xml:space="preserve">s </w:t>
      </w:r>
      <w:r w:rsidRPr="00DF734C">
        <w:rPr>
          <w:sz w:val="22"/>
          <w:szCs w:val="22"/>
          <w:lang w:val="en-GB"/>
        </w:rPr>
        <w:t>on a cost-sharing basis.</w:t>
      </w:r>
    </w:p>
    <w:p w14:paraId="4D5DFB3B" w14:textId="349A4A8B" w:rsidR="00DF734C" w:rsidRPr="005F32EF" w:rsidRDefault="00DF734C" w:rsidP="00C21323">
      <w:pPr>
        <w:pStyle w:val="BodyTextIndent"/>
        <w:rPr>
          <w:sz w:val="22"/>
          <w:szCs w:val="22"/>
        </w:rPr>
      </w:pPr>
      <w:r w:rsidRPr="00DF734C">
        <w:rPr>
          <w:b/>
          <w:sz w:val="22"/>
          <w:szCs w:val="22"/>
          <w:lang w:val="en-GB"/>
        </w:rPr>
        <w:t>Working groups</w:t>
      </w:r>
      <w:r w:rsidRPr="00DF734C">
        <w:rPr>
          <w:sz w:val="22"/>
          <w:szCs w:val="22"/>
          <w:lang w:val="en-GB"/>
        </w:rPr>
        <w:t xml:space="preserve"> </w:t>
      </w:r>
      <w:r w:rsidR="007720A1">
        <w:rPr>
          <w:sz w:val="22"/>
          <w:szCs w:val="22"/>
          <w:lang w:val="en-GB"/>
        </w:rPr>
        <w:t xml:space="preserve">(WGs) </w:t>
      </w:r>
      <w:r w:rsidRPr="00DF734C">
        <w:rPr>
          <w:sz w:val="22"/>
          <w:szCs w:val="22"/>
          <w:lang w:val="en-GB"/>
        </w:rPr>
        <w:t xml:space="preserve">carry out the programme of work that includes various activities and that usually extends over a number of years. </w:t>
      </w:r>
      <w:r w:rsidR="00E67155">
        <w:rPr>
          <w:sz w:val="22"/>
          <w:szCs w:val="22"/>
          <w:lang w:val="en-GB"/>
        </w:rPr>
        <w:t>T</w:t>
      </w:r>
      <w:r w:rsidR="00862A83" w:rsidRPr="00862A83">
        <w:rPr>
          <w:sz w:val="22"/>
          <w:szCs w:val="22"/>
          <w:lang w:val="en-GB"/>
        </w:rPr>
        <w:t xml:space="preserve">he </w:t>
      </w:r>
      <w:r w:rsidR="00862A83" w:rsidRPr="00EC2E96">
        <w:rPr>
          <w:b/>
          <w:sz w:val="22"/>
          <w:szCs w:val="22"/>
          <w:lang w:val="en-GB"/>
        </w:rPr>
        <w:t>WGAMA</w:t>
      </w:r>
      <w:r w:rsidR="00862A83" w:rsidRPr="00862A83">
        <w:rPr>
          <w:sz w:val="22"/>
          <w:szCs w:val="22"/>
          <w:lang w:val="en-GB"/>
        </w:rPr>
        <w:t xml:space="preserve"> </w:t>
      </w:r>
      <w:r w:rsidR="005429D0" w:rsidRPr="005429D0">
        <w:rPr>
          <w:sz w:val="22"/>
          <w:szCs w:val="22"/>
          <w:highlight w:val="green"/>
          <w:lang w:val="en-GB"/>
        </w:rPr>
        <w:t>[1</w:t>
      </w:r>
      <w:r w:rsidR="0070715B">
        <w:rPr>
          <w:sz w:val="22"/>
          <w:szCs w:val="22"/>
          <w:highlight w:val="green"/>
          <w:lang w:val="en-GB"/>
        </w:rPr>
        <w:t xml:space="preserve"> -</w:t>
      </w:r>
      <w:r w:rsidR="005429D0">
        <w:rPr>
          <w:sz w:val="22"/>
          <w:szCs w:val="22"/>
          <w:highlight w:val="green"/>
          <w:lang w:val="en-GB"/>
        </w:rPr>
        <w:t xml:space="preserve"> </w:t>
      </w:r>
      <w:r w:rsidR="0070715B">
        <w:rPr>
          <w:sz w:val="22"/>
          <w:szCs w:val="22"/>
          <w:highlight w:val="green"/>
          <w:lang w:val="en-GB"/>
        </w:rPr>
        <w:t>3</w:t>
      </w:r>
      <w:r w:rsidR="005429D0" w:rsidRPr="005429D0">
        <w:rPr>
          <w:sz w:val="22"/>
          <w:szCs w:val="22"/>
          <w:highlight w:val="green"/>
          <w:lang w:val="en-GB"/>
        </w:rPr>
        <w:t>]</w:t>
      </w:r>
      <w:r w:rsidR="00EB026E">
        <w:rPr>
          <w:sz w:val="22"/>
          <w:szCs w:val="22"/>
          <w:lang w:val="en-GB"/>
        </w:rPr>
        <w:t xml:space="preserve">, among 11 WGs of the </w:t>
      </w:r>
      <w:r w:rsidR="00EB026E" w:rsidRPr="006951C5">
        <w:rPr>
          <w:sz w:val="22"/>
          <w:szCs w:val="22"/>
          <w:lang w:val="en-GB"/>
        </w:rPr>
        <w:t>NEA Committee on the Safety of Nuclear Installations (CSNI)</w:t>
      </w:r>
      <w:r w:rsidR="00EB026E">
        <w:rPr>
          <w:sz w:val="22"/>
          <w:szCs w:val="22"/>
          <w:lang w:val="en-GB"/>
        </w:rPr>
        <w:t xml:space="preserve">, </w:t>
      </w:r>
      <w:r w:rsidR="006951C5">
        <w:rPr>
          <w:sz w:val="22"/>
          <w:szCs w:val="22"/>
          <w:lang w:val="en-GB"/>
        </w:rPr>
        <w:t>undertakes</w:t>
      </w:r>
      <w:r w:rsidR="006951C5" w:rsidRPr="00862A83">
        <w:rPr>
          <w:sz w:val="22"/>
          <w:szCs w:val="22"/>
          <w:lang w:val="en-GB"/>
        </w:rPr>
        <w:t xml:space="preserve"> </w:t>
      </w:r>
      <w:r w:rsidR="00862A83" w:rsidRPr="00862A83">
        <w:rPr>
          <w:sz w:val="22"/>
          <w:szCs w:val="22"/>
          <w:lang w:val="en-GB"/>
        </w:rPr>
        <w:t xml:space="preserve">activities related to potential design-basis </w:t>
      </w:r>
      <w:r w:rsidR="00E67155">
        <w:rPr>
          <w:sz w:val="22"/>
          <w:szCs w:val="22"/>
          <w:lang w:val="en-GB"/>
        </w:rPr>
        <w:t xml:space="preserve">accidents (DBAs) </w:t>
      </w:r>
      <w:r w:rsidR="00862A83" w:rsidRPr="00862A83">
        <w:rPr>
          <w:sz w:val="22"/>
          <w:szCs w:val="22"/>
          <w:lang w:val="en-GB"/>
        </w:rPr>
        <w:t>and beyond design-basis accident</w:t>
      </w:r>
      <w:r w:rsidR="00E67155">
        <w:rPr>
          <w:sz w:val="22"/>
          <w:szCs w:val="22"/>
          <w:lang w:val="en-GB"/>
        </w:rPr>
        <w:t>s (BDBAs)</w:t>
      </w:r>
      <w:r w:rsidR="00495218">
        <w:rPr>
          <w:sz w:val="22"/>
          <w:szCs w:val="22"/>
          <w:lang w:val="en-GB"/>
        </w:rPr>
        <w:t>,</w:t>
      </w:r>
      <w:r w:rsidR="00862A83" w:rsidRPr="00862A83">
        <w:rPr>
          <w:sz w:val="22"/>
          <w:szCs w:val="22"/>
          <w:lang w:val="en-GB"/>
        </w:rPr>
        <w:t xml:space="preserve"> </w:t>
      </w:r>
      <w:r w:rsidR="00DD4652">
        <w:rPr>
          <w:sz w:val="22"/>
          <w:szCs w:val="22"/>
          <w:lang w:val="en-GB"/>
        </w:rPr>
        <w:t xml:space="preserve">including design-extension conditions (DECs) </w:t>
      </w:r>
      <w:r w:rsidR="00862A83" w:rsidRPr="00862A83">
        <w:rPr>
          <w:sz w:val="22"/>
          <w:szCs w:val="22"/>
          <w:lang w:val="en-GB"/>
        </w:rPr>
        <w:t xml:space="preserve">in </w:t>
      </w:r>
      <w:r w:rsidR="00E67155">
        <w:rPr>
          <w:sz w:val="22"/>
          <w:szCs w:val="22"/>
          <w:lang w:val="en-GB"/>
        </w:rPr>
        <w:t>NPP</w:t>
      </w:r>
      <w:r w:rsidR="00862A83" w:rsidRPr="00862A83">
        <w:rPr>
          <w:sz w:val="22"/>
          <w:szCs w:val="22"/>
          <w:lang w:val="en-GB"/>
        </w:rPr>
        <w:t>s and related technologies</w:t>
      </w:r>
      <w:r w:rsidR="006951C5">
        <w:rPr>
          <w:sz w:val="22"/>
          <w:szCs w:val="22"/>
          <w:lang w:val="en-GB"/>
        </w:rPr>
        <w:t>, especially on</w:t>
      </w:r>
      <w:r w:rsidR="00862A83" w:rsidRPr="00862A83">
        <w:rPr>
          <w:sz w:val="22"/>
          <w:szCs w:val="22"/>
          <w:lang w:val="en-GB"/>
        </w:rPr>
        <w:t xml:space="preserve"> the safety aspects of </w:t>
      </w:r>
      <w:r w:rsidR="00F75B4D">
        <w:rPr>
          <w:sz w:val="22"/>
          <w:szCs w:val="22"/>
          <w:lang w:val="en-GB"/>
        </w:rPr>
        <w:t>operating</w:t>
      </w:r>
      <w:r w:rsidR="00F75B4D" w:rsidRPr="00862A83">
        <w:rPr>
          <w:sz w:val="22"/>
          <w:szCs w:val="22"/>
          <w:lang w:val="en-GB"/>
        </w:rPr>
        <w:t xml:space="preserve"> </w:t>
      </w:r>
      <w:r w:rsidR="00862A83" w:rsidRPr="00862A83">
        <w:rPr>
          <w:sz w:val="22"/>
          <w:szCs w:val="22"/>
          <w:lang w:val="en-GB"/>
        </w:rPr>
        <w:t xml:space="preserve">reactors as well </w:t>
      </w:r>
      <w:r w:rsidR="00862A83" w:rsidRPr="005F32EF">
        <w:rPr>
          <w:sz w:val="22"/>
          <w:szCs w:val="22"/>
          <w:lang w:val="en-GB"/>
        </w:rPr>
        <w:t xml:space="preserve">as emerging challenges of evolutionary and innovative reactor designs, including SMRs. </w:t>
      </w:r>
      <w:r w:rsidR="005967ED" w:rsidRPr="005F32EF">
        <w:rPr>
          <w:sz w:val="22"/>
          <w:szCs w:val="22"/>
          <w:lang w:val="en-GB"/>
        </w:rPr>
        <w:t xml:space="preserve">In setting its own priorities, the WGAMA takes into account the needs of its members </w:t>
      </w:r>
      <w:r w:rsidR="00CA056E">
        <w:rPr>
          <w:sz w:val="22"/>
          <w:szCs w:val="22"/>
          <w:lang w:val="en-GB"/>
        </w:rPr>
        <w:t>through</w:t>
      </w:r>
      <w:r w:rsidR="005967ED" w:rsidRPr="005F32EF">
        <w:rPr>
          <w:sz w:val="22"/>
          <w:szCs w:val="22"/>
          <w:lang w:val="en-GB"/>
        </w:rPr>
        <w:t xml:space="preserve"> </w:t>
      </w:r>
      <w:r w:rsidR="00342EA2">
        <w:rPr>
          <w:sz w:val="22"/>
          <w:szCs w:val="22"/>
          <w:lang w:val="en-GB"/>
        </w:rPr>
        <w:t xml:space="preserve">their </w:t>
      </w:r>
      <w:r w:rsidR="005967ED" w:rsidRPr="005F32EF">
        <w:rPr>
          <w:sz w:val="22"/>
          <w:szCs w:val="22"/>
          <w:lang w:val="en-GB"/>
        </w:rPr>
        <w:t xml:space="preserve">annual country reports, </w:t>
      </w:r>
      <w:r w:rsidR="00CA056E" w:rsidRPr="005F32EF">
        <w:rPr>
          <w:sz w:val="22"/>
          <w:szCs w:val="22"/>
          <w:lang w:val="en-GB"/>
        </w:rPr>
        <w:t>activit</w:t>
      </w:r>
      <w:r w:rsidR="00CA056E">
        <w:rPr>
          <w:sz w:val="22"/>
          <w:szCs w:val="22"/>
          <w:lang w:val="en-GB"/>
        </w:rPr>
        <w:t>y</w:t>
      </w:r>
      <w:r w:rsidR="00CA056E" w:rsidRPr="005F32EF">
        <w:rPr>
          <w:sz w:val="22"/>
          <w:szCs w:val="22"/>
          <w:lang w:val="en-GB"/>
        </w:rPr>
        <w:t xml:space="preserve"> synthesis reports</w:t>
      </w:r>
      <w:r w:rsidR="00CA056E" w:rsidRPr="00737653">
        <w:rPr>
          <w:sz w:val="22"/>
          <w:szCs w:val="22"/>
          <w:lang w:val="en-GB"/>
        </w:rPr>
        <w:t xml:space="preserve"> </w:t>
      </w:r>
      <w:r w:rsidR="00CA056E" w:rsidRPr="00EC11AD">
        <w:rPr>
          <w:sz w:val="22"/>
          <w:szCs w:val="22"/>
        </w:rPr>
        <w:t>(</w:t>
      </w:r>
      <w:r w:rsidR="00CA056E">
        <w:rPr>
          <w:sz w:val="21"/>
          <w:szCs w:val="21"/>
        </w:rPr>
        <w:t>e.g.,</w:t>
      </w:r>
      <w:r w:rsidR="00CA056E" w:rsidRPr="00EC11AD">
        <w:rPr>
          <w:sz w:val="21"/>
          <w:szCs w:val="21"/>
        </w:rPr>
        <w:t xml:space="preserve"> SOARs, TOPs, benchmarks/ISPs, PIRTs, conference/</w:t>
      </w:r>
      <w:r w:rsidR="00342EA2">
        <w:rPr>
          <w:sz w:val="21"/>
          <w:szCs w:val="21"/>
        </w:rPr>
        <w:t xml:space="preserve"> </w:t>
      </w:r>
      <w:r w:rsidR="00CA056E" w:rsidRPr="00EC11AD">
        <w:rPr>
          <w:sz w:val="21"/>
          <w:szCs w:val="21"/>
        </w:rPr>
        <w:t>workshop summary reports, project summary application reports</w:t>
      </w:r>
      <w:r w:rsidR="00CA056E" w:rsidRPr="00EC11AD">
        <w:rPr>
          <w:sz w:val="22"/>
          <w:szCs w:val="22"/>
        </w:rPr>
        <w:t>)</w:t>
      </w:r>
      <w:r w:rsidR="00CA056E" w:rsidRPr="00737653">
        <w:rPr>
          <w:sz w:val="22"/>
          <w:szCs w:val="22"/>
          <w:lang w:val="en-GB"/>
        </w:rPr>
        <w:t>,</w:t>
      </w:r>
      <w:r w:rsidR="00CA056E" w:rsidRPr="005F32EF">
        <w:rPr>
          <w:sz w:val="22"/>
          <w:szCs w:val="22"/>
          <w:lang w:val="en-GB"/>
        </w:rPr>
        <w:t xml:space="preserve"> </w:t>
      </w:r>
      <w:r w:rsidR="00495218" w:rsidRPr="005F32EF">
        <w:rPr>
          <w:sz w:val="22"/>
          <w:szCs w:val="22"/>
          <w:lang w:val="en-GB"/>
        </w:rPr>
        <w:t>relevant</w:t>
      </w:r>
      <w:r w:rsidR="005967ED" w:rsidRPr="005F32EF">
        <w:rPr>
          <w:sz w:val="22"/>
          <w:szCs w:val="22"/>
          <w:lang w:val="en-GB"/>
        </w:rPr>
        <w:t xml:space="preserve"> activities carried out by other </w:t>
      </w:r>
      <w:r w:rsidR="00495218" w:rsidRPr="005F32EF">
        <w:rPr>
          <w:sz w:val="22"/>
          <w:szCs w:val="22"/>
          <w:lang w:val="en-GB"/>
        </w:rPr>
        <w:t xml:space="preserve">CSNI </w:t>
      </w:r>
      <w:r w:rsidR="00737653">
        <w:rPr>
          <w:sz w:val="22"/>
          <w:szCs w:val="22"/>
          <w:lang w:val="en-GB"/>
        </w:rPr>
        <w:t>WGs</w:t>
      </w:r>
      <w:r w:rsidR="00CA056E">
        <w:rPr>
          <w:sz w:val="22"/>
          <w:szCs w:val="22"/>
          <w:lang w:val="en-GB"/>
        </w:rPr>
        <w:t xml:space="preserve"> and</w:t>
      </w:r>
      <w:r w:rsidR="00CA056E" w:rsidRPr="00CA056E">
        <w:rPr>
          <w:sz w:val="22"/>
          <w:szCs w:val="22"/>
          <w:lang w:val="en-GB"/>
        </w:rPr>
        <w:t xml:space="preserve"> Nuclear Science Committee (NSC) expert groups</w:t>
      </w:r>
      <w:r w:rsidR="00495218" w:rsidRPr="005F32EF">
        <w:rPr>
          <w:sz w:val="22"/>
          <w:szCs w:val="22"/>
          <w:lang w:val="en-GB"/>
        </w:rPr>
        <w:t xml:space="preserve">, </w:t>
      </w:r>
      <w:r w:rsidR="005967ED" w:rsidRPr="005F32EF">
        <w:rPr>
          <w:sz w:val="22"/>
          <w:szCs w:val="22"/>
          <w:lang w:val="en-GB"/>
        </w:rPr>
        <w:t>the OECD/NEA J</w:t>
      </w:r>
      <w:r w:rsidR="00737653">
        <w:rPr>
          <w:sz w:val="22"/>
          <w:szCs w:val="22"/>
          <w:lang w:val="en-GB"/>
        </w:rPr>
        <w:t>P</w:t>
      </w:r>
      <w:r w:rsidR="00CA056E" w:rsidRPr="005F32EF">
        <w:rPr>
          <w:sz w:val="22"/>
          <w:szCs w:val="22"/>
          <w:lang w:val="en-GB"/>
        </w:rPr>
        <w:t>s</w:t>
      </w:r>
      <w:r w:rsidR="00CA056E">
        <w:rPr>
          <w:sz w:val="22"/>
          <w:szCs w:val="22"/>
          <w:lang w:val="en-GB"/>
        </w:rPr>
        <w:t>,</w:t>
      </w:r>
      <w:r w:rsidR="00495218" w:rsidRPr="005F32EF">
        <w:rPr>
          <w:sz w:val="22"/>
          <w:szCs w:val="22"/>
          <w:lang w:val="en-GB"/>
        </w:rPr>
        <w:t xml:space="preserve"> and</w:t>
      </w:r>
      <w:r w:rsidR="005967ED" w:rsidRPr="005F32EF">
        <w:rPr>
          <w:sz w:val="22"/>
          <w:szCs w:val="22"/>
          <w:lang w:val="en-GB"/>
        </w:rPr>
        <w:t xml:space="preserve"> </w:t>
      </w:r>
      <w:r w:rsidR="00495218" w:rsidRPr="005F32EF">
        <w:rPr>
          <w:sz w:val="22"/>
          <w:szCs w:val="22"/>
          <w:lang w:val="en-GB"/>
        </w:rPr>
        <w:t xml:space="preserve">complementary activities </w:t>
      </w:r>
      <w:r w:rsidR="00CA056E">
        <w:rPr>
          <w:sz w:val="22"/>
          <w:szCs w:val="22"/>
          <w:lang w:val="en-GB"/>
        </w:rPr>
        <w:t>at</w:t>
      </w:r>
      <w:r w:rsidR="005967ED" w:rsidRPr="005F32EF">
        <w:rPr>
          <w:sz w:val="22"/>
          <w:szCs w:val="22"/>
          <w:lang w:val="en-GB"/>
        </w:rPr>
        <w:t xml:space="preserve"> international organisations such as the IAEA </w:t>
      </w:r>
      <w:r w:rsidR="00737653">
        <w:rPr>
          <w:sz w:val="22"/>
          <w:szCs w:val="22"/>
          <w:lang w:val="en-GB"/>
        </w:rPr>
        <w:t>and</w:t>
      </w:r>
      <w:r w:rsidR="005967ED" w:rsidRPr="005F32EF">
        <w:rPr>
          <w:sz w:val="22"/>
          <w:szCs w:val="22"/>
          <w:lang w:val="en-GB"/>
        </w:rPr>
        <w:t xml:space="preserve"> the European </w:t>
      </w:r>
      <w:r w:rsidR="00495218" w:rsidRPr="005F32EF">
        <w:rPr>
          <w:sz w:val="22"/>
          <w:szCs w:val="22"/>
          <w:lang w:val="en-GB"/>
        </w:rPr>
        <w:t>Commission</w:t>
      </w:r>
      <w:r w:rsidR="005967ED" w:rsidRPr="005F32EF">
        <w:rPr>
          <w:sz w:val="22"/>
          <w:szCs w:val="22"/>
          <w:lang w:val="en-GB"/>
        </w:rPr>
        <w:t xml:space="preserve">. </w:t>
      </w:r>
      <w:r w:rsidR="000B7547" w:rsidRPr="005F32EF">
        <w:rPr>
          <w:sz w:val="22"/>
          <w:szCs w:val="22"/>
          <w:lang w:val="en-GB"/>
        </w:rPr>
        <w:t>O</w:t>
      </w:r>
      <w:r w:rsidR="00862A83" w:rsidRPr="005F32EF">
        <w:rPr>
          <w:sz w:val="22"/>
          <w:szCs w:val="22"/>
          <w:lang w:val="en-GB"/>
        </w:rPr>
        <w:t xml:space="preserve">ver 100 members are participating </w:t>
      </w:r>
      <w:r w:rsidR="000B7547" w:rsidRPr="005F32EF">
        <w:rPr>
          <w:sz w:val="22"/>
          <w:szCs w:val="22"/>
          <w:lang w:val="en-GB"/>
        </w:rPr>
        <w:t xml:space="preserve">in </w:t>
      </w:r>
      <w:r w:rsidR="00342EA2">
        <w:rPr>
          <w:sz w:val="22"/>
          <w:szCs w:val="22"/>
          <w:lang w:val="en-GB"/>
        </w:rPr>
        <w:t xml:space="preserve">the </w:t>
      </w:r>
      <w:r w:rsidR="000B7547" w:rsidRPr="005F32EF">
        <w:rPr>
          <w:sz w:val="22"/>
          <w:szCs w:val="22"/>
          <w:lang w:val="en-GB"/>
        </w:rPr>
        <w:t xml:space="preserve">WGAMA </w:t>
      </w:r>
      <w:r w:rsidR="00862A83" w:rsidRPr="005F32EF">
        <w:rPr>
          <w:sz w:val="22"/>
          <w:szCs w:val="22"/>
          <w:lang w:val="en-GB"/>
        </w:rPr>
        <w:t xml:space="preserve">from 28 countries. </w:t>
      </w:r>
      <w:r w:rsidR="00F75B4D" w:rsidRPr="005F32EF">
        <w:rPr>
          <w:sz w:val="22"/>
          <w:szCs w:val="22"/>
          <w:lang w:val="en-GB"/>
        </w:rPr>
        <w:t>O</w:t>
      </w:r>
      <w:r w:rsidR="00862A83" w:rsidRPr="005F32EF">
        <w:rPr>
          <w:sz w:val="22"/>
          <w:szCs w:val="22"/>
          <w:lang w:val="en-GB"/>
        </w:rPr>
        <w:t xml:space="preserve">ver 400 </w:t>
      </w:r>
      <w:r w:rsidR="00A93712" w:rsidRPr="005F32EF">
        <w:rPr>
          <w:sz w:val="22"/>
          <w:szCs w:val="22"/>
          <w:lang w:val="en-GB"/>
        </w:rPr>
        <w:t>experts</w:t>
      </w:r>
      <w:r w:rsidR="00A93712" w:rsidRPr="00862A83">
        <w:rPr>
          <w:sz w:val="22"/>
          <w:szCs w:val="22"/>
          <w:lang w:val="en-GB"/>
        </w:rPr>
        <w:t xml:space="preserve"> </w:t>
      </w:r>
      <w:r w:rsidR="00862A83" w:rsidRPr="00862A83">
        <w:rPr>
          <w:sz w:val="22"/>
          <w:szCs w:val="22"/>
          <w:lang w:val="en-GB"/>
        </w:rPr>
        <w:t xml:space="preserve">are involved in </w:t>
      </w:r>
      <w:r w:rsidR="00CA056E">
        <w:rPr>
          <w:sz w:val="22"/>
          <w:szCs w:val="22"/>
          <w:lang w:val="en-GB"/>
        </w:rPr>
        <w:t>its</w:t>
      </w:r>
      <w:r w:rsidR="00862A83" w:rsidRPr="00862A83">
        <w:rPr>
          <w:sz w:val="22"/>
          <w:szCs w:val="22"/>
          <w:lang w:val="en-GB"/>
        </w:rPr>
        <w:t xml:space="preserve"> activities</w:t>
      </w:r>
      <w:r w:rsidR="00A93712">
        <w:rPr>
          <w:sz w:val="22"/>
          <w:szCs w:val="22"/>
          <w:lang w:val="en-GB"/>
        </w:rPr>
        <w:t xml:space="preserve">, as </w:t>
      </w:r>
      <w:r w:rsidR="00862A83" w:rsidRPr="00862A83">
        <w:rPr>
          <w:sz w:val="22"/>
          <w:szCs w:val="22"/>
          <w:lang w:val="en-GB"/>
        </w:rPr>
        <w:t>both contributors and beneficiaries of the outcomes</w:t>
      </w:r>
      <w:r w:rsidR="000B7547">
        <w:rPr>
          <w:sz w:val="22"/>
          <w:szCs w:val="22"/>
          <w:lang w:val="en-GB"/>
        </w:rPr>
        <w:t>.</w:t>
      </w:r>
      <w:r w:rsidR="00F75B4D">
        <w:rPr>
          <w:sz w:val="22"/>
          <w:szCs w:val="22"/>
          <w:lang w:val="en-GB"/>
        </w:rPr>
        <w:t xml:space="preserve"> </w:t>
      </w:r>
      <w:r w:rsidR="00342EA2">
        <w:rPr>
          <w:sz w:val="22"/>
          <w:szCs w:val="22"/>
          <w:lang w:val="en-GB"/>
        </w:rPr>
        <w:t>Consequently, t</w:t>
      </w:r>
      <w:r w:rsidR="000B7547">
        <w:rPr>
          <w:sz w:val="22"/>
          <w:szCs w:val="22"/>
          <w:lang w:val="en-GB"/>
        </w:rPr>
        <w:t>he</w:t>
      </w:r>
      <w:r w:rsidR="0019260D" w:rsidRPr="00F75B4D">
        <w:rPr>
          <w:sz w:val="22"/>
          <w:szCs w:val="22"/>
          <w:lang w:val="en-GB"/>
        </w:rPr>
        <w:t xml:space="preserve"> achievements </w:t>
      </w:r>
      <w:r w:rsidR="004A28A3">
        <w:rPr>
          <w:sz w:val="22"/>
          <w:szCs w:val="22"/>
          <w:lang w:val="en-GB"/>
        </w:rPr>
        <w:t xml:space="preserve">by the WGAMA </w:t>
      </w:r>
      <w:r w:rsidR="0019260D">
        <w:rPr>
          <w:sz w:val="22"/>
          <w:szCs w:val="22"/>
          <w:lang w:val="en-GB"/>
        </w:rPr>
        <w:t>are</w:t>
      </w:r>
      <w:r w:rsidR="0019260D" w:rsidRPr="00F75B4D">
        <w:rPr>
          <w:sz w:val="22"/>
          <w:szCs w:val="22"/>
          <w:lang w:val="en-GB"/>
        </w:rPr>
        <w:t xml:space="preserve"> outstanding in </w:t>
      </w:r>
      <w:r w:rsidR="00A93712">
        <w:rPr>
          <w:sz w:val="22"/>
          <w:szCs w:val="22"/>
          <w:lang w:val="en-GB"/>
        </w:rPr>
        <w:t xml:space="preserve">the </w:t>
      </w:r>
      <w:r w:rsidR="00342EA2">
        <w:rPr>
          <w:sz w:val="22"/>
          <w:szCs w:val="22"/>
          <w:lang w:val="en-GB"/>
        </w:rPr>
        <w:t>number and quality of</w:t>
      </w:r>
      <w:r w:rsidR="0019260D" w:rsidRPr="00F75B4D">
        <w:rPr>
          <w:sz w:val="22"/>
          <w:szCs w:val="22"/>
          <w:lang w:val="en-GB"/>
        </w:rPr>
        <w:t xml:space="preserve"> technical reports and position papers </w:t>
      </w:r>
      <w:r w:rsidR="00A93712">
        <w:rPr>
          <w:sz w:val="22"/>
          <w:szCs w:val="22"/>
          <w:lang w:val="en-GB"/>
        </w:rPr>
        <w:t>as</w:t>
      </w:r>
      <w:r w:rsidR="0019260D" w:rsidRPr="00F75B4D">
        <w:rPr>
          <w:sz w:val="22"/>
          <w:szCs w:val="22"/>
          <w:lang w:val="en-GB"/>
        </w:rPr>
        <w:t xml:space="preserve"> reference publications</w:t>
      </w:r>
      <w:r w:rsidR="00A93712">
        <w:rPr>
          <w:sz w:val="22"/>
          <w:szCs w:val="22"/>
          <w:lang w:val="en-GB"/>
        </w:rPr>
        <w:t xml:space="preserve"> (CSNI </w:t>
      </w:r>
      <w:r w:rsidR="000B7547">
        <w:rPr>
          <w:sz w:val="22"/>
          <w:szCs w:val="22"/>
          <w:lang w:val="en-GB"/>
        </w:rPr>
        <w:t xml:space="preserve">or NEA </w:t>
      </w:r>
      <w:r w:rsidR="00A93712">
        <w:rPr>
          <w:sz w:val="22"/>
          <w:szCs w:val="22"/>
          <w:lang w:val="en-GB"/>
        </w:rPr>
        <w:t>reports)</w:t>
      </w:r>
      <w:r w:rsidR="0019260D" w:rsidRPr="00F75B4D">
        <w:rPr>
          <w:sz w:val="22"/>
          <w:szCs w:val="22"/>
          <w:lang w:val="en-GB"/>
        </w:rPr>
        <w:t>, and in organizing workshops</w:t>
      </w:r>
      <w:r w:rsidR="0082523B">
        <w:rPr>
          <w:sz w:val="22"/>
          <w:szCs w:val="22"/>
          <w:lang w:val="en-GB"/>
        </w:rPr>
        <w:t xml:space="preserve"> (WSs)</w:t>
      </w:r>
      <w:r w:rsidR="0019260D" w:rsidRPr="00F75B4D">
        <w:rPr>
          <w:sz w:val="22"/>
          <w:szCs w:val="22"/>
          <w:lang w:val="en-GB"/>
        </w:rPr>
        <w:t xml:space="preserve"> and conferences </w:t>
      </w:r>
      <w:r w:rsidR="00342EA2">
        <w:rPr>
          <w:sz w:val="22"/>
          <w:szCs w:val="22"/>
          <w:lang w:val="en-GB"/>
        </w:rPr>
        <w:t xml:space="preserve">that </w:t>
      </w:r>
      <w:r w:rsidR="000B7547">
        <w:rPr>
          <w:sz w:val="22"/>
          <w:szCs w:val="22"/>
          <w:lang w:val="en-GB"/>
        </w:rPr>
        <w:t>cover</w:t>
      </w:r>
      <w:r w:rsidR="0019260D" w:rsidRPr="00F75B4D">
        <w:rPr>
          <w:sz w:val="22"/>
          <w:szCs w:val="22"/>
          <w:lang w:val="en-GB"/>
        </w:rPr>
        <w:t xml:space="preserve"> </w:t>
      </w:r>
      <w:r w:rsidR="000B7547">
        <w:rPr>
          <w:sz w:val="22"/>
          <w:szCs w:val="22"/>
          <w:lang w:val="en-GB"/>
        </w:rPr>
        <w:t xml:space="preserve">current and </w:t>
      </w:r>
      <w:r w:rsidR="0019260D" w:rsidRPr="00F75B4D">
        <w:rPr>
          <w:sz w:val="22"/>
          <w:szCs w:val="22"/>
          <w:lang w:val="en-GB"/>
        </w:rPr>
        <w:t>innovative technologi</w:t>
      </w:r>
      <w:r w:rsidR="0019260D">
        <w:rPr>
          <w:sz w:val="22"/>
          <w:szCs w:val="22"/>
          <w:lang w:val="en-GB"/>
        </w:rPr>
        <w:t xml:space="preserve">es. </w:t>
      </w:r>
      <w:r w:rsidR="008374E0" w:rsidRPr="005F32EF">
        <w:rPr>
          <w:sz w:val="22"/>
          <w:szCs w:val="22"/>
          <w:lang w:val="en-GB"/>
        </w:rPr>
        <w:t xml:space="preserve">In addition, </w:t>
      </w:r>
      <w:r w:rsidR="00342EA2">
        <w:rPr>
          <w:sz w:val="22"/>
          <w:szCs w:val="22"/>
          <w:lang w:val="en-GB"/>
        </w:rPr>
        <w:t xml:space="preserve">the </w:t>
      </w:r>
      <w:r w:rsidR="008374E0" w:rsidRPr="005F32EF">
        <w:rPr>
          <w:sz w:val="22"/>
          <w:szCs w:val="22"/>
          <w:lang w:val="en-GB"/>
        </w:rPr>
        <w:t xml:space="preserve">WGAMA aims to transfer the </w:t>
      </w:r>
      <w:r w:rsidR="00EF083A" w:rsidRPr="005F32EF">
        <w:rPr>
          <w:sz w:val="22"/>
          <w:szCs w:val="22"/>
          <w:lang w:val="en-GB"/>
        </w:rPr>
        <w:t xml:space="preserve">acquired </w:t>
      </w:r>
      <w:r w:rsidR="008374E0" w:rsidRPr="005F32EF">
        <w:rPr>
          <w:sz w:val="22"/>
          <w:szCs w:val="22"/>
          <w:lang w:val="en-GB"/>
        </w:rPr>
        <w:t>knowledge</w:t>
      </w:r>
      <w:r w:rsidR="00EF083A">
        <w:rPr>
          <w:sz w:val="22"/>
          <w:szCs w:val="22"/>
          <w:lang w:val="en-GB"/>
        </w:rPr>
        <w:t xml:space="preserve"> to younger experts</w:t>
      </w:r>
      <w:r w:rsidR="000B7547" w:rsidRPr="005F32EF">
        <w:rPr>
          <w:sz w:val="22"/>
          <w:szCs w:val="22"/>
          <w:lang w:val="en-GB"/>
        </w:rPr>
        <w:t xml:space="preserve"> </w:t>
      </w:r>
      <w:r w:rsidR="00EF083A">
        <w:rPr>
          <w:sz w:val="22"/>
          <w:szCs w:val="22"/>
          <w:lang w:val="en-GB"/>
        </w:rPr>
        <w:t>through</w:t>
      </w:r>
      <w:r w:rsidR="008374E0" w:rsidRPr="005F32EF">
        <w:rPr>
          <w:sz w:val="22"/>
          <w:szCs w:val="22"/>
          <w:lang w:val="en-GB"/>
        </w:rPr>
        <w:t xml:space="preserve"> the THICKET seminar series. </w:t>
      </w:r>
      <w:r w:rsidR="00A93712" w:rsidRPr="005F32EF">
        <w:rPr>
          <w:sz w:val="22"/>
          <w:szCs w:val="22"/>
          <w:lang w:val="en-GB"/>
        </w:rPr>
        <w:t>T</w:t>
      </w:r>
      <w:r w:rsidR="0019260D" w:rsidRPr="005F32EF">
        <w:rPr>
          <w:sz w:val="22"/>
          <w:szCs w:val="22"/>
          <w:lang w:val="en-GB"/>
        </w:rPr>
        <w:t xml:space="preserve">his paper focuses on the </w:t>
      </w:r>
      <w:r w:rsidR="004A28A3" w:rsidRPr="005F32EF">
        <w:rPr>
          <w:sz w:val="22"/>
          <w:szCs w:val="22"/>
          <w:lang w:val="en-GB"/>
        </w:rPr>
        <w:t>review of the recent activities and outcomes from T/H analysis of water-cooled nuclear</w:t>
      </w:r>
      <w:r w:rsidR="004A28A3" w:rsidRPr="004A28A3">
        <w:rPr>
          <w:sz w:val="22"/>
          <w:szCs w:val="22"/>
          <w:lang w:val="en-GB"/>
        </w:rPr>
        <w:t xml:space="preserve"> reactors and possible applications to advanced designs, </w:t>
      </w:r>
      <w:r w:rsidR="004A28A3">
        <w:rPr>
          <w:sz w:val="22"/>
          <w:szCs w:val="22"/>
          <w:lang w:val="en-GB"/>
        </w:rPr>
        <w:t>especially on the</w:t>
      </w:r>
      <w:r w:rsidR="004A28A3" w:rsidRPr="004A28A3">
        <w:rPr>
          <w:sz w:val="22"/>
          <w:szCs w:val="22"/>
          <w:lang w:val="en-GB"/>
        </w:rPr>
        <w:t xml:space="preserve"> CFD applications to </w:t>
      </w:r>
      <w:r w:rsidR="004A28A3">
        <w:rPr>
          <w:sz w:val="22"/>
          <w:szCs w:val="22"/>
          <w:lang w:val="en-GB"/>
        </w:rPr>
        <w:t>NRS</w:t>
      </w:r>
      <w:r w:rsidR="004A28A3" w:rsidRPr="004A28A3">
        <w:rPr>
          <w:sz w:val="22"/>
          <w:szCs w:val="22"/>
          <w:lang w:val="en-GB"/>
        </w:rPr>
        <w:t>.</w:t>
      </w:r>
      <w:r w:rsidR="00E91412">
        <w:rPr>
          <w:sz w:val="22"/>
          <w:szCs w:val="22"/>
          <w:lang w:val="en-GB"/>
        </w:rPr>
        <w:t xml:space="preserve"> </w:t>
      </w:r>
    </w:p>
    <w:p w14:paraId="297BEB70" w14:textId="36A4D074" w:rsidR="00DF734C" w:rsidRPr="00D40DF4" w:rsidRDefault="00B05092" w:rsidP="005F32EF">
      <w:pPr>
        <w:pStyle w:val="BodyTextIndent"/>
        <w:widowControl w:val="0"/>
        <w:rPr>
          <w:sz w:val="22"/>
          <w:szCs w:val="22"/>
          <w:lang w:val="en-GB"/>
        </w:rPr>
      </w:pPr>
      <w:r>
        <w:rPr>
          <w:b/>
          <w:sz w:val="22"/>
          <w:szCs w:val="22"/>
          <w:lang w:val="en-GB"/>
        </w:rPr>
        <w:t xml:space="preserve">NEA </w:t>
      </w:r>
      <w:r w:rsidR="00DF734C" w:rsidRPr="00DF734C">
        <w:rPr>
          <w:b/>
          <w:sz w:val="22"/>
          <w:szCs w:val="22"/>
          <w:lang w:val="en-GB"/>
        </w:rPr>
        <w:t>Joint safety research projects</w:t>
      </w:r>
      <w:r w:rsidR="000E127F">
        <w:rPr>
          <w:b/>
          <w:sz w:val="22"/>
          <w:szCs w:val="22"/>
          <w:lang w:val="en-GB"/>
        </w:rPr>
        <w:t xml:space="preserve"> (JPs)</w:t>
      </w:r>
      <w:r w:rsidR="00DF734C">
        <w:rPr>
          <w:sz w:val="22"/>
          <w:szCs w:val="22"/>
          <w:lang w:val="en-GB"/>
        </w:rPr>
        <w:t xml:space="preserve"> </w:t>
      </w:r>
      <w:r w:rsidR="005429D0" w:rsidRPr="005429D0">
        <w:rPr>
          <w:sz w:val="22"/>
          <w:szCs w:val="22"/>
          <w:highlight w:val="green"/>
          <w:lang w:val="en-GB"/>
        </w:rPr>
        <w:t>[</w:t>
      </w:r>
      <w:r w:rsidR="0070715B">
        <w:rPr>
          <w:sz w:val="22"/>
          <w:szCs w:val="22"/>
          <w:highlight w:val="green"/>
          <w:lang w:val="en-GB"/>
        </w:rPr>
        <w:t>4</w:t>
      </w:r>
      <w:r w:rsidR="005429D0" w:rsidRPr="005429D0">
        <w:rPr>
          <w:sz w:val="22"/>
          <w:szCs w:val="22"/>
          <w:highlight w:val="green"/>
          <w:lang w:val="en-GB"/>
        </w:rPr>
        <w:t>]</w:t>
      </w:r>
      <w:r w:rsidR="005429D0">
        <w:rPr>
          <w:sz w:val="22"/>
          <w:szCs w:val="22"/>
          <w:lang w:val="en-GB"/>
        </w:rPr>
        <w:t xml:space="preserve"> </w:t>
      </w:r>
      <w:r w:rsidR="00DF734C">
        <w:rPr>
          <w:sz w:val="22"/>
          <w:szCs w:val="22"/>
          <w:lang w:val="en-GB"/>
        </w:rPr>
        <w:t>are</w:t>
      </w:r>
      <w:r w:rsidR="00DF734C" w:rsidRPr="00DF734C">
        <w:rPr>
          <w:sz w:val="22"/>
          <w:szCs w:val="22"/>
          <w:lang w:val="en-GB"/>
        </w:rPr>
        <w:t xml:space="preserve"> </w:t>
      </w:r>
      <w:r>
        <w:rPr>
          <w:sz w:val="22"/>
          <w:szCs w:val="22"/>
          <w:lang w:val="en-GB"/>
        </w:rPr>
        <w:t xml:space="preserve">collaborative ventures </w:t>
      </w:r>
      <w:r w:rsidR="00DF734C" w:rsidRPr="00DF734C">
        <w:rPr>
          <w:sz w:val="22"/>
          <w:szCs w:val="22"/>
          <w:lang w:val="en-GB"/>
        </w:rPr>
        <w:t>governed by an agreement between a number of participating organisations</w:t>
      </w:r>
      <w:r>
        <w:rPr>
          <w:sz w:val="22"/>
          <w:szCs w:val="22"/>
          <w:lang w:val="en-GB"/>
        </w:rPr>
        <w:t xml:space="preserve">. With </w:t>
      </w:r>
      <w:r w:rsidR="00BF2D83">
        <w:rPr>
          <w:sz w:val="22"/>
          <w:szCs w:val="22"/>
          <w:lang w:val="en-GB"/>
        </w:rPr>
        <w:t>close to 50 projects completed since 1958, they offer a flexible framework where different stakeholders (regulators, industry, TSOs, research organizations) join forces to address key safety issues and develop shared knowledge base for nuclear safety applications.</w:t>
      </w:r>
      <w:r>
        <w:rPr>
          <w:sz w:val="22"/>
          <w:szCs w:val="22"/>
          <w:lang w:val="en-GB"/>
        </w:rPr>
        <w:t xml:space="preserve"> </w:t>
      </w:r>
      <w:r w:rsidR="00697603">
        <w:rPr>
          <w:sz w:val="22"/>
          <w:szCs w:val="22"/>
          <w:lang w:val="en-GB"/>
        </w:rPr>
        <w:t>Each JP is</w:t>
      </w:r>
      <w:r>
        <w:rPr>
          <w:sz w:val="22"/>
          <w:szCs w:val="22"/>
          <w:lang w:val="en-GB"/>
        </w:rPr>
        <w:t xml:space="preserve"> conducted</w:t>
      </w:r>
      <w:r w:rsidR="00A93712">
        <w:rPr>
          <w:sz w:val="22"/>
          <w:szCs w:val="22"/>
          <w:lang w:val="en-GB"/>
        </w:rPr>
        <w:t xml:space="preserve"> by </w:t>
      </w:r>
      <w:r w:rsidR="003E7409">
        <w:rPr>
          <w:sz w:val="22"/>
          <w:szCs w:val="22"/>
          <w:lang w:val="en-GB"/>
        </w:rPr>
        <w:t xml:space="preserve">the </w:t>
      </w:r>
      <w:r>
        <w:rPr>
          <w:sz w:val="22"/>
          <w:szCs w:val="22"/>
          <w:lang w:val="en-GB"/>
        </w:rPr>
        <w:t>organization</w:t>
      </w:r>
      <w:r w:rsidR="003E7409">
        <w:rPr>
          <w:sz w:val="22"/>
          <w:szCs w:val="22"/>
          <w:lang w:val="en-GB"/>
        </w:rPr>
        <w:t>(s)</w:t>
      </w:r>
      <w:r>
        <w:rPr>
          <w:sz w:val="22"/>
          <w:szCs w:val="22"/>
          <w:lang w:val="en-GB"/>
        </w:rPr>
        <w:t xml:space="preserve"> operating</w:t>
      </w:r>
      <w:r w:rsidR="00A93712">
        <w:rPr>
          <w:sz w:val="22"/>
          <w:szCs w:val="22"/>
          <w:lang w:val="en-GB"/>
        </w:rPr>
        <w:t xml:space="preserve"> test facilities</w:t>
      </w:r>
      <w:r w:rsidR="00DF734C" w:rsidRPr="00D40DF4">
        <w:rPr>
          <w:sz w:val="22"/>
          <w:szCs w:val="22"/>
          <w:lang w:val="en-GB"/>
        </w:rPr>
        <w:t>.</w:t>
      </w:r>
      <w:r w:rsidR="000E127F" w:rsidRPr="000E127F">
        <w:rPr>
          <w:sz w:val="22"/>
          <w:szCs w:val="22"/>
          <w:lang w:val="en-GB"/>
        </w:rPr>
        <w:t xml:space="preserve"> </w:t>
      </w:r>
      <w:r w:rsidR="00BF2D83">
        <w:rPr>
          <w:sz w:val="22"/>
          <w:szCs w:val="22"/>
          <w:lang w:val="en-GB"/>
        </w:rPr>
        <w:t>In addition to providing key quality data sets to support safety analyses, the</w:t>
      </w:r>
      <w:r w:rsidR="00697603">
        <w:rPr>
          <w:sz w:val="22"/>
          <w:szCs w:val="22"/>
          <w:lang w:val="en-GB"/>
        </w:rPr>
        <w:t xml:space="preserve"> JPs</w:t>
      </w:r>
      <w:r w:rsidR="000E127F">
        <w:rPr>
          <w:sz w:val="22"/>
          <w:szCs w:val="22"/>
          <w:lang w:val="en-GB"/>
        </w:rPr>
        <w:t xml:space="preserve"> </w:t>
      </w:r>
      <w:r w:rsidR="000E127F" w:rsidRPr="000E127F">
        <w:rPr>
          <w:sz w:val="22"/>
          <w:szCs w:val="22"/>
          <w:lang w:val="en-GB"/>
        </w:rPr>
        <w:t>contribute to the development and preservation of key technical capabilities, research infrastructure and expertise in participating organizations, and to education and training of the future generation of nuclear safety experts.</w:t>
      </w:r>
      <w:r w:rsidR="000E127F">
        <w:rPr>
          <w:sz w:val="22"/>
          <w:szCs w:val="22"/>
          <w:lang w:val="en-GB"/>
        </w:rPr>
        <w:t xml:space="preserve"> </w:t>
      </w:r>
      <w:r w:rsidR="000E127F" w:rsidRPr="000E127F">
        <w:rPr>
          <w:sz w:val="22"/>
          <w:szCs w:val="22"/>
          <w:lang w:val="en-GB"/>
        </w:rPr>
        <w:t>This paper describes benefits from and opportunities for</w:t>
      </w:r>
      <w:r w:rsidR="000E127F">
        <w:rPr>
          <w:sz w:val="22"/>
          <w:szCs w:val="22"/>
          <w:lang w:val="en-GB"/>
        </w:rPr>
        <w:t xml:space="preserve"> </w:t>
      </w:r>
      <w:r w:rsidR="000E127F" w:rsidRPr="000E127F">
        <w:rPr>
          <w:sz w:val="22"/>
          <w:szCs w:val="22"/>
          <w:lang w:val="en-GB"/>
        </w:rPr>
        <w:t xml:space="preserve">JPs </w:t>
      </w:r>
      <w:r w:rsidR="00104B68">
        <w:rPr>
          <w:sz w:val="22"/>
          <w:szCs w:val="22"/>
          <w:lang w:val="en-GB"/>
        </w:rPr>
        <w:t xml:space="preserve">in the T/H </w:t>
      </w:r>
      <w:r w:rsidR="00697603">
        <w:rPr>
          <w:sz w:val="22"/>
          <w:szCs w:val="22"/>
          <w:lang w:val="en-GB"/>
        </w:rPr>
        <w:t>field</w:t>
      </w:r>
      <w:r w:rsidR="000E127F" w:rsidRPr="000E127F">
        <w:rPr>
          <w:sz w:val="22"/>
          <w:szCs w:val="22"/>
          <w:lang w:val="en-GB"/>
        </w:rPr>
        <w:t>.</w:t>
      </w:r>
    </w:p>
    <w:p w14:paraId="6C13F82E" w14:textId="77777777" w:rsidR="00E13341" w:rsidRPr="00D40DF4" w:rsidRDefault="00E13341" w:rsidP="005F32EF">
      <w:pPr>
        <w:pStyle w:val="BodyTextIndent"/>
        <w:widowControl w:val="0"/>
        <w:rPr>
          <w:sz w:val="22"/>
          <w:szCs w:val="22"/>
        </w:rPr>
      </w:pPr>
    </w:p>
    <w:p w14:paraId="5524DE44" w14:textId="3903AA29" w:rsidR="00E13341" w:rsidRPr="00D40DF4" w:rsidRDefault="00E13341" w:rsidP="005F32EF">
      <w:pPr>
        <w:pStyle w:val="AbstractClauseTitle"/>
        <w:widowControl w:val="0"/>
        <w:jc w:val="left"/>
        <w:rPr>
          <w:rFonts w:ascii="Times New Roman" w:hAnsi="Times New Roman"/>
          <w:sz w:val="22"/>
          <w:szCs w:val="22"/>
        </w:rPr>
      </w:pPr>
      <w:r w:rsidRPr="00D40DF4">
        <w:rPr>
          <w:rFonts w:ascii="Times New Roman" w:hAnsi="Times New Roman"/>
          <w:sz w:val="22"/>
          <w:szCs w:val="22"/>
        </w:rPr>
        <w:t>II. R</w:t>
      </w:r>
      <w:r w:rsidRPr="00D40DF4">
        <w:rPr>
          <w:rFonts w:ascii="Times New Roman" w:hAnsi="Times New Roman"/>
          <w:caps w:val="0"/>
          <w:sz w:val="22"/>
          <w:szCs w:val="22"/>
        </w:rPr>
        <w:t xml:space="preserve">ecent WGAMA activities </w:t>
      </w:r>
      <w:r>
        <w:rPr>
          <w:rFonts w:ascii="Times New Roman" w:hAnsi="Times New Roman"/>
          <w:caps w:val="0"/>
          <w:sz w:val="22"/>
          <w:szCs w:val="22"/>
        </w:rPr>
        <w:t>in the field of T/H</w:t>
      </w:r>
    </w:p>
    <w:p w14:paraId="78EBD091" w14:textId="09988611" w:rsidR="009A0838" w:rsidRPr="00E45D4C" w:rsidRDefault="000D3944" w:rsidP="00C21323">
      <w:pPr>
        <w:pStyle w:val="BodyTextIndent"/>
        <w:widowControl w:val="0"/>
        <w:rPr>
          <w:sz w:val="22"/>
          <w:szCs w:val="22"/>
          <w:lang w:eastAsia="ja-JP"/>
        </w:rPr>
      </w:pPr>
      <w:r w:rsidRPr="005F32EF">
        <w:rPr>
          <w:sz w:val="22"/>
          <w:szCs w:val="22"/>
          <w:lang w:eastAsia="ja-JP"/>
        </w:rPr>
        <w:t xml:space="preserve">The NEA CSNI </w:t>
      </w:r>
      <w:r>
        <w:rPr>
          <w:sz w:val="22"/>
          <w:szCs w:val="22"/>
          <w:lang w:eastAsia="ja-JP"/>
        </w:rPr>
        <w:t xml:space="preserve">organized the </w:t>
      </w:r>
      <w:r w:rsidR="00CD7084">
        <w:rPr>
          <w:sz w:val="22"/>
          <w:szCs w:val="22"/>
          <w:lang w:eastAsia="ja-JP"/>
        </w:rPr>
        <w:t xml:space="preserve">first </w:t>
      </w:r>
      <w:r w:rsidRPr="000D3944">
        <w:rPr>
          <w:sz w:val="22"/>
          <w:szCs w:val="22"/>
          <w:lang w:eastAsia="ja-JP"/>
        </w:rPr>
        <w:t xml:space="preserve">Specialist Meeting </w:t>
      </w:r>
      <w:r w:rsidR="00CD7084">
        <w:rPr>
          <w:sz w:val="22"/>
          <w:szCs w:val="22"/>
          <w:lang w:eastAsia="ja-JP"/>
        </w:rPr>
        <w:t xml:space="preserve">(SM) </w:t>
      </w:r>
      <w:r w:rsidRPr="000D3944">
        <w:rPr>
          <w:sz w:val="22"/>
          <w:szCs w:val="22"/>
          <w:lang w:eastAsia="ja-JP"/>
        </w:rPr>
        <w:t xml:space="preserve">on Transient </w:t>
      </w:r>
      <w:r w:rsidR="00CD7084">
        <w:rPr>
          <w:sz w:val="22"/>
          <w:szCs w:val="22"/>
          <w:lang w:eastAsia="ja-JP"/>
        </w:rPr>
        <w:t xml:space="preserve">two-phase Flows at Toronto in 1976. The SM on </w:t>
      </w:r>
      <w:r w:rsidRPr="000D3944">
        <w:rPr>
          <w:sz w:val="22"/>
          <w:szCs w:val="22"/>
          <w:lang w:eastAsia="ja-JP"/>
        </w:rPr>
        <w:t>Nuclear Thermal-Hydraulics (NTH)</w:t>
      </w:r>
      <w:r w:rsidR="00CD7084">
        <w:rPr>
          <w:sz w:val="22"/>
          <w:szCs w:val="22"/>
          <w:lang w:eastAsia="ja-JP"/>
        </w:rPr>
        <w:t xml:space="preserve"> has been successively organized by the NEA CSNI providing up-to-date T/H research result addressing continuous improvements of nuclear safety. Following such a historical effort, the WGAMA organized </w:t>
      </w:r>
      <w:r w:rsidR="00593F39">
        <w:rPr>
          <w:sz w:val="22"/>
          <w:szCs w:val="22"/>
          <w:lang w:eastAsia="ja-JP"/>
        </w:rPr>
        <w:t>a</w:t>
      </w:r>
      <w:r w:rsidR="00CD7084">
        <w:rPr>
          <w:sz w:val="22"/>
          <w:szCs w:val="22"/>
          <w:lang w:eastAsia="ja-JP"/>
        </w:rPr>
        <w:t xml:space="preserve"> s</w:t>
      </w:r>
      <w:r w:rsidR="00CD7084" w:rsidRPr="00CD7084">
        <w:rPr>
          <w:sz w:val="22"/>
          <w:szCs w:val="22"/>
          <w:lang w:eastAsia="ja-JP"/>
        </w:rPr>
        <w:t xml:space="preserve">pecialists </w:t>
      </w:r>
      <w:r w:rsidR="00CD7084">
        <w:rPr>
          <w:sz w:val="22"/>
          <w:szCs w:val="22"/>
          <w:lang w:eastAsia="ja-JP"/>
        </w:rPr>
        <w:t>m</w:t>
      </w:r>
      <w:r w:rsidR="00CD7084" w:rsidRPr="00CD7084">
        <w:rPr>
          <w:sz w:val="22"/>
          <w:szCs w:val="22"/>
          <w:lang w:eastAsia="ja-JP"/>
        </w:rPr>
        <w:t xml:space="preserve">eeting on </w:t>
      </w:r>
      <w:r w:rsidR="00CD7084">
        <w:rPr>
          <w:sz w:val="22"/>
          <w:szCs w:val="22"/>
          <w:lang w:eastAsia="ja-JP"/>
        </w:rPr>
        <w:t>t</w:t>
      </w:r>
      <w:r w:rsidR="00CD7084" w:rsidRPr="00CD7084">
        <w:rPr>
          <w:sz w:val="22"/>
          <w:szCs w:val="22"/>
          <w:lang w:eastAsia="ja-JP"/>
        </w:rPr>
        <w:t xml:space="preserve">ransient NTH in water cooled reactors </w:t>
      </w:r>
      <w:r w:rsidR="00CD7084">
        <w:rPr>
          <w:sz w:val="22"/>
          <w:szCs w:val="22"/>
          <w:lang w:eastAsia="ja-JP"/>
        </w:rPr>
        <w:t>(SM-TH) on March 2023</w:t>
      </w:r>
      <w:r w:rsidR="007E2B5E">
        <w:rPr>
          <w:sz w:val="22"/>
          <w:szCs w:val="22"/>
          <w:lang w:eastAsia="ja-JP"/>
        </w:rPr>
        <w:t>.</w:t>
      </w:r>
      <w:r w:rsidR="00CD7084">
        <w:rPr>
          <w:sz w:val="22"/>
          <w:szCs w:val="22"/>
          <w:lang w:eastAsia="ja-JP"/>
        </w:rPr>
        <w:t xml:space="preserve"> </w:t>
      </w:r>
      <w:r w:rsidR="00697603" w:rsidRPr="005429D0">
        <w:rPr>
          <w:sz w:val="22"/>
          <w:szCs w:val="22"/>
          <w:highlight w:val="green"/>
          <w:lang w:val="en-GB"/>
        </w:rPr>
        <w:t>[</w:t>
      </w:r>
      <w:r w:rsidR="00697603">
        <w:rPr>
          <w:sz w:val="22"/>
          <w:szCs w:val="22"/>
          <w:highlight w:val="green"/>
          <w:lang w:val="en-GB"/>
        </w:rPr>
        <w:t>5, 6</w:t>
      </w:r>
      <w:r w:rsidR="00697603" w:rsidRPr="005429D0">
        <w:rPr>
          <w:sz w:val="22"/>
          <w:szCs w:val="22"/>
          <w:highlight w:val="green"/>
          <w:lang w:val="en-GB"/>
        </w:rPr>
        <w:t>]</w:t>
      </w:r>
      <w:r w:rsidR="00697603">
        <w:rPr>
          <w:sz w:val="22"/>
          <w:szCs w:val="22"/>
          <w:lang w:val="en-GB"/>
        </w:rPr>
        <w:t xml:space="preserve"> </w:t>
      </w:r>
      <w:r w:rsidR="007E2B5E">
        <w:rPr>
          <w:rFonts w:hint="eastAsia"/>
          <w:sz w:val="22"/>
          <w:szCs w:val="22"/>
        </w:rPr>
        <w:t>T</w:t>
      </w:r>
      <w:r w:rsidR="007E2B5E">
        <w:rPr>
          <w:sz w:val="22"/>
          <w:szCs w:val="22"/>
        </w:rPr>
        <w:t>he event marked another historical step summarizing the whole status of current NTH that may advance basis of reactor safety assessment as above, along with the efforts through WGAMA international collaborative activities. O</w:t>
      </w:r>
      <w:r w:rsidR="007E2B5E">
        <w:rPr>
          <w:sz w:val="22"/>
          <w:szCs w:val="22"/>
          <w:lang w:eastAsia="ja-JP"/>
        </w:rPr>
        <w:t xml:space="preserve">ver </w:t>
      </w:r>
      <w:r w:rsidR="007E2B5E" w:rsidRPr="009A0838">
        <w:rPr>
          <w:sz w:val="22"/>
          <w:szCs w:val="22"/>
          <w:lang w:eastAsia="ja-JP"/>
        </w:rPr>
        <w:t>60 technical</w:t>
      </w:r>
      <w:r w:rsidR="007E2B5E">
        <w:rPr>
          <w:sz w:val="22"/>
          <w:szCs w:val="22"/>
          <w:lang w:eastAsia="ja-JP"/>
        </w:rPr>
        <w:t xml:space="preserve"> papers</w:t>
      </w:r>
      <w:r w:rsidR="007E2B5E" w:rsidRPr="009A0838">
        <w:rPr>
          <w:sz w:val="22"/>
          <w:szCs w:val="22"/>
          <w:lang w:eastAsia="ja-JP"/>
        </w:rPr>
        <w:t xml:space="preserve"> and 11 summary papers</w:t>
      </w:r>
      <w:r w:rsidR="007E2B5E">
        <w:rPr>
          <w:sz w:val="22"/>
          <w:szCs w:val="22"/>
          <w:lang w:eastAsia="ja-JP"/>
        </w:rPr>
        <w:t xml:space="preserve"> in 12 sessions summarized</w:t>
      </w:r>
      <w:r w:rsidR="00CD7084" w:rsidRPr="007C1741">
        <w:rPr>
          <w:sz w:val="22"/>
          <w:szCs w:val="22"/>
          <w:lang w:eastAsia="ja-JP"/>
        </w:rPr>
        <w:t xml:space="preserve"> the status </w:t>
      </w:r>
      <w:r w:rsidR="00CD7084">
        <w:rPr>
          <w:sz w:val="22"/>
          <w:szCs w:val="22"/>
          <w:lang w:eastAsia="ja-JP"/>
        </w:rPr>
        <w:t>of</w:t>
      </w:r>
      <w:r w:rsidR="00CD7084" w:rsidRPr="007C1741">
        <w:rPr>
          <w:sz w:val="22"/>
          <w:szCs w:val="22"/>
          <w:lang w:eastAsia="ja-JP"/>
        </w:rPr>
        <w:t xml:space="preserve"> NTH</w:t>
      </w:r>
      <w:r w:rsidR="00CD7084">
        <w:rPr>
          <w:sz w:val="22"/>
          <w:szCs w:val="22"/>
          <w:lang w:eastAsia="ja-JP"/>
        </w:rPr>
        <w:t xml:space="preserve"> and</w:t>
      </w:r>
      <w:r w:rsidR="00CD7084" w:rsidRPr="007C1741">
        <w:rPr>
          <w:sz w:val="22"/>
          <w:szCs w:val="22"/>
          <w:lang w:eastAsia="ja-JP"/>
        </w:rPr>
        <w:t xml:space="preserve"> identif</w:t>
      </w:r>
      <w:r w:rsidR="007E2B5E">
        <w:rPr>
          <w:sz w:val="22"/>
          <w:szCs w:val="22"/>
          <w:lang w:eastAsia="ja-JP"/>
        </w:rPr>
        <w:t>ied</w:t>
      </w:r>
      <w:r w:rsidR="00CD7084" w:rsidRPr="007C1741">
        <w:rPr>
          <w:sz w:val="22"/>
          <w:szCs w:val="22"/>
          <w:lang w:eastAsia="ja-JP"/>
        </w:rPr>
        <w:t xml:space="preserve"> key needs </w:t>
      </w:r>
      <w:r w:rsidR="00CD7084">
        <w:rPr>
          <w:sz w:val="22"/>
          <w:szCs w:val="22"/>
          <w:lang w:eastAsia="ja-JP"/>
        </w:rPr>
        <w:t>in</w:t>
      </w:r>
      <w:r w:rsidR="00CD7084" w:rsidRPr="007C1741">
        <w:rPr>
          <w:sz w:val="22"/>
          <w:szCs w:val="22"/>
          <w:lang w:eastAsia="ja-JP"/>
        </w:rPr>
        <w:t xml:space="preserve"> safety research </w:t>
      </w:r>
      <w:r w:rsidR="00CD7084">
        <w:rPr>
          <w:sz w:val="22"/>
          <w:szCs w:val="22"/>
          <w:lang w:eastAsia="ja-JP"/>
        </w:rPr>
        <w:t>o</w:t>
      </w:r>
      <w:r w:rsidR="00CD7084" w:rsidRPr="007C1741">
        <w:rPr>
          <w:sz w:val="22"/>
          <w:szCs w:val="22"/>
          <w:lang w:eastAsia="ja-JP"/>
        </w:rPr>
        <w:t xml:space="preserve">n </w:t>
      </w:r>
      <w:r w:rsidR="00697603">
        <w:rPr>
          <w:sz w:val="22"/>
          <w:szCs w:val="22"/>
          <w:lang w:eastAsia="ja-JP"/>
        </w:rPr>
        <w:t>T/H</w:t>
      </w:r>
      <w:r w:rsidR="00CD7084">
        <w:rPr>
          <w:sz w:val="22"/>
          <w:szCs w:val="22"/>
          <w:lang w:eastAsia="ja-JP"/>
        </w:rPr>
        <w:t xml:space="preserve"> responses during </w:t>
      </w:r>
      <w:r w:rsidR="00CD7084" w:rsidRPr="007C1741">
        <w:rPr>
          <w:sz w:val="22"/>
          <w:szCs w:val="22"/>
          <w:lang w:eastAsia="ja-JP"/>
        </w:rPr>
        <w:t>reactor accident</w:t>
      </w:r>
      <w:r w:rsidR="00CD7084">
        <w:rPr>
          <w:sz w:val="22"/>
          <w:szCs w:val="22"/>
          <w:lang w:eastAsia="ja-JP"/>
        </w:rPr>
        <w:t xml:space="preserve">s. </w:t>
      </w:r>
    </w:p>
    <w:p w14:paraId="7EDD4B17" w14:textId="1BE9E393" w:rsidR="000B42BF" w:rsidRDefault="00E45D4C" w:rsidP="009A0838">
      <w:pPr>
        <w:pStyle w:val="BodyTextIndent"/>
        <w:rPr>
          <w:sz w:val="22"/>
          <w:szCs w:val="22"/>
          <w:lang w:eastAsia="ja-JP"/>
        </w:rPr>
      </w:pPr>
      <w:r w:rsidRPr="00E45D4C">
        <w:rPr>
          <w:sz w:val="22"/>
          <w:szCs w:val="22"/>
          <w:lang w:eastAsia="ja-JP"/>
        </w:rPr>
        <w:t xml:space="preserve">The </w:t>
      </w:r>
      <w:r>
        <w:rPr>
          <w:sz w:val="22"/>
          <w:szCs w:val="22"/>
          <w:lang w:eastAsia="ja-JP"/>
        </w:rPr>
        <w:t>NTH</w:t>
      </w:r>
      <w:r w:rsidRPr="00E45D4C">
        <w:rPr>
          <w:sz w:val="22"/>
          <w:szCs w:val="22"/>
          <w:lang w:eastAsia="ja-JP"/>
        </w:rPr>
        <w:t xml:space="preserve"> activities </w:t>
      </w:r>
      <w:r w:rsidR="00E40FED">
        <w:rPr>
          <w:sz w:val="22"/>
          <w:szCs w:val="22"/>
          <w:lang w:eastAsia="ja-JP"/>
        </w:rPr>
        <w:t xml:space="preserve">nowadays </w:t>
      </w:r>
      <w:r w:rsidRPr="00E45D4C">
        <w:rPr>
          <w:sz w:val="22"/>
          <w:szCs w:val="22"/>
          <w:lang w:eastAsia="ja-JP"/>
        </w:rPr>
        <w:t xml:space="preserve">highly rely on </w:t>
      </w:r>
      <w:r w:rsidR="008670B2">
        <w:rPr>
          <w:sz w:val="22"/>
          <w:szCs w:val="22"/>
          <w:lang w:eastAsia="ja-JP"/>
        </w:rPr>
        <w:t>a</w:t>
      </w:r>
      <w:r w:rsidRPr="00E45D4C">
        <w:rPr>
          <w:sz w:val="22"/>
          <w:szCs w:val="22"/>
          <w:lang w:eastAsia="ja-JP"/>
        </w:rPr>
        <w:t xml:space="preserve"> multi-topics feature</w:t>
      </w:r>
      <w:r>
        <w:rPr>
          <w:sz w:val="22"/>
          <w:szCs w:val="22"/>
          <w:lang w:eastAsia="ja-JP"/>
        </w:rPr>
        <w:t xml:space="preserve"> </w:t>
      </w:r>
      <w:r w:rsidRPr="00E45D4C">
        <w:rPr>
          <w:sz w:val="22"/>
          <w:szCs w:val="22"/>
          <w:lang w:eastAsia="ja-JP"/>
        </w:rPr>
        <w:t>where multi-scale and multi-physics analyses and modelling</w:t>
      </w:r>
      <w:r w:rsidR="00E40FED">
        <w:rPr>
          <w:sz w:val="22"/>
          <w:szCs w:val="22"/>
          <w:lang w:eastAsia="ja-JP"/>
        </w:rPr>
        <w:t xml:space="preserve"> </w:t>
      </w:r>
      <w:r w:rsidR="00394A5D">
        <w:rPr>
          <w:sz w:val="22"/>
          <w:szCs w:val="22"/>
          <w:lang w:eastAsia="ja-JP"/>
        </w:rPr>
        <w:t xml:space="preserve">efforts </w:t>
      </w:r>
      <w:r w:rsidRPr="00E45D4C">
        <w:rPr>
          <w:sz w:val="22"/>
          <w:szCs w:val="22"/>
          <w:lang w:eastAsia="ja-JP"/>
        </w:rPr>
        <w:t>tak</w:t>
      </w:r>
      <w:r>
        <w:rPr>
          <w:sz w:val="22"/>
          <w:szCs w:val="22"/>
          <w:lang w:eastAsia="ja-JP"/>
        </w:rPr>
        <w:t>e</w:t>
      </w:r>
      <w:r w:rsidRPr="00E45D4C">
        <w:rPr>
          <w:sz w:val="22"/>
          <w:szCs w:val="22"/>
          <w:lang w:eastAsia="ja-JP"/>
        </w:rPr>
        <w:t xml:space="preserve"> a</w:t>
      </w:r>
      <w:r>
        <w:rPr>
          <w:sz w:val="22"/>
          <w:szCs w:val="22"/>
          <w:lang w:eastAsia="ja-JP"/>
        </w:rPr>
        <w:t xml:space="preserve"> </w:t>
      </w:r>
      <w:r w:rsidRPr="00E45D4C">
        <w:rPr>
          <w:sz w:val="22"/>
          <w:szCs w:val="22"/>
          <w:lang w:eastAsia="ja-JP"/>
        </w:rPr>
        <w:t>significant part.</w:t>
      </w:r>
      <w:r w:rsidR="008670B2">
        <w:rPr>
          <w:sz w:val="22"/>
          <w:szCs w:val="22"/>
          <w:lang w:eastAsia="ja-JP"/>
        </w:rPr>
        <w:t xml:space="preserve"> </w:t>
      </w:r>
      <w:r w:rsidR="00E40FED">
        <w:rPr>
          <w:sz w:val="22"/>
          <w:szCs w:val="22"/>
          <w:lang w:eastAsia="ja-JP"/>
        </w:rPr>
        <w:t>T</w:t>
      </w:r>
      <w:r w:rsidR="00394A5D">
        <w:rPr>
          <w:sz w:val="22"/>
          <w:szCs w:val="22"/>
          <w:lang w:eastAsia="ja-JP"/>
        </w:rPr>
        <w:t>/H effort</w:t>
      </w:r>
      <w:r w:rsidR="00D03716" w:rsidRPr="00D03716">
        <w:rPr>
          <w:sz w:val="22"/>
          <w:szCs w:val="22"/>
          <w:lang w:eastAsia="ja-JP"/>
        </w:rPr>
        <w:t xml:space="preserve">s </w:t>
      </w:r>
      <w:r w:rsidR="00E40FED">
        <w:rPr>
          <w:sz w:val="22"/>
          <w:szCs w:val="22"/>
          <w:lang w:eastAsia="ja-JP"/>
        </w:rPr>
        <w:t>in</w:t>
      </w:r>
      <w:r w:rsidR="00D03716" w:rsidRPr="00D03716">
        <w:rPr>
          <w:sz w:val="22"/>
          <w:szCs w:val="22"/>
          <w:lang w:eastAsia="ja-JP"/>
        </w:rPr>
        <w:t xml:space="preserve"> experiment</w:t>
      </w:r>
      <w:r w:rsidR="00E40FED">
        <w:rPr>
          <w:sz w:val="22"/>
          <w:szCs w:val="22"/>
          <w:lang w:eastAsia="ja-JP"/>
        </w:rPr>
        <w:t>s</w:t>
      </w:r>
      <w:r w:rsidR="00D03716" w:rsidRPr="00D03716">
        <w:rPr>
          <w:sz w:val="22"/>
          <w:szCs w:val="22"/>
          <w:lang w:eastAsia="ja-JP"/>
        </w:rPr>
        <w:t>, modelling</w:t>
      </w:r>
      <w:r w:rsidR="00394A5D">
        <w:rPr>
          <w:sz w:val="22"/>
          <w:szCs w:val="22"/>
          <w:lang w:eastAsia="ja-JP"/>
        </w:rPr>
        <w:t>,</w:t>
      </w:r>
      <w:r w:rsidR="00D03716" w:rsidRPr="00D03716">
        <w:rPr>
          <w:sz w:val="22"/>
          <w:szCs w:val="22"/>
          <w:lang w:eastAsia="ja-JP"/>
        </w:rPr>
        <w:t xml:space="preserve"> code development, validation and application </w:t>
      </w:r>
      <w:r w:rsidR="007C05B5">
        <w:rPr>
          <w:sz w:val="22"/>
          <w:szCs w:val="22"/>
          <w:lang w:eastAsia="ja-JP"/>
        </w:rPr>
        <w:t xml:space="preserve">have </w:t>
      </w:r>
      <w:r w:rsidR="00394A5D">
        <w:rPr>
          <w:sz w:val="22"/>
          <w:szCs w:val="22"/>
          <w:lang w:eastAsia="ja-JP"/>
        </w:rPr>
        <w:t>serve</w:t>
      </w:r>
      <w:r w:rsidR="007C05B5">
        <w:rPr>
          <w:sz w:val="22"/>
          <w:szCs w:val="22"/>
          <w:lang w:eastAsia="ja-JP"/>
        </w:rPr>
        <w:t>d</w:t>
      </w:r>
      <w:r w:rsidR="008670B2" w:rsidRPr="00D03716">
        <w:rPr>
          <w:sz w:val="22"/>
          <w:szCs w:val="22"/>
          <w:lang w:eastAsia="ja-JP"/>
        </w:rPr>
        <w:t xml:space="preserve"> </w:t>
      </w:r>
      <w:r w:rsidR="00394A5D">
        <w:rPr>
          <w:sz w:val="22"/>
          <w:szCs w:val="22"/>
          <w:lang w:eastAsia="ja-JP"/>
        </w:rPr>
        <w:t xml:space="preserve">for </w:t>
      </w:r>
      <w:r w:rsidR="00E40FED">
        <w:rPr>
          <w:sz w:val="22"/>
          <w:szCs w:val="22"/>
          <w:lang w:eastAsia="ja-JP"/>
        </w:rPr>
        <w:t xml:space="preserve">such </w:t>
      </w:r>
      <w:r w:rsidR="00D03716" w:rsidRPr="00D03716">
        <w:rPr>
          <w:sz w:val="22"/>
          <w:szCs w:val="22"/>
          <w:lang w:eastAsia="ja-JP"/>
        </w:rPr>
        <w:t>scien</w:t>
      </w:r>
      <w:r w:rsidR="00394A5D">
        <w:rPr>
          <w:sz w:val="22"/>
          <w:szCs w:val="22"/>
          <w:lang w:eastAsia="ja-JP"/>
        </w:rPr>
        <w:t>tific</w:t>
      </w:r>
      <w:r w:rsidR="00D03716" w:rsidRPr="00D03716">
        <w:rPr>
          <w:sz w:val="22"/>
          <w:szCs w:val="22"/>
          <w:lang w:eastAsia="ja-JP"/>
        </w:rPr>
        <w:t xml:space="preserve"> and technolog</w:t>
      </w:r>
      <w:r w:rsidR="00394A5D">
        <w:rPr>
          <w:sz w:val="22"/>
          <w:szCs w:val="22"/>
          <w:lang w:eastAsia="ja-JP"/>
        </w:rPr>
        <w:t>ical advancements</w:t>
      </w:r>
      <w:r w:rsidR="008670B2">
        <w:rPr>
          <w:sz w:val="22"/>
          <w:szCs w:val="22"/>
          <w:lang w:eastAsia="ja-JP"/>
        </w:rPr>
        <w:t xml:space="preserve"> </w:t>
      </w:r>
      <w:r w:rsidR="008670B2" w:rsidRPr="00D03716">
        <w:rPr>
          <w:sz w:val="22"/>
          <w:szCs w:val="22"/>
          <w:lang w:eastAsia="ja-JP"/>
        </w:rPr>
        <w:t>during the last two decades</w:t>
      </w:r>
      <w:r w:rsidR="00D03716" w:rsidRPr="00D03716">
        <w:rPr>
          <w:sz w:val="22"/>
          <w:szCs w:val="22"/>
          <w:lang w:eastAsia="ja-JP"/>
        </w:rPr>
        <w:t xml:space="preserve">. This includes </w:t>
      </w:r>
      <w:r w:rsidR="00593F39">
        <w:rPr>
          <w:sz w:val="22"/>
          <w:szCs w:val="22"/>
          <w:lang w:eastAsia="ja-JP"/>
        </w:rPr>
        <w:t>b</w:t>
      </w:r>
      <w:r w:rsidR="00D03716" w:rsidRPr="00D03716">
        <w:rPr>
          <w:sz w:val="22"/>
          <w:szCs w:val="22"/>
          <w:lang w:eastAsia="ja-JP"/>
        </w:rPr>
        <w:t xml:space="preserve">est </w:t>
      </w:r>
      <w:r w:rsidR="00593F39">
        <w:rPr>
          <w:sz w:val="22"/>
          <w:szCs w:val="22"/>
          <w:lang w:eastAsia="ja-JP"/>
        </w:rPr>
        <w:t>e</w:t>
      </w:r>
      <w:r w:rsidR="00D03716" w:rsidRPr="00D03716">
        <w:rPr>
          <w:sz w:val="22"/>
          <w:szCs w:val="22"/>
          <w:lang w:eastAsia="ja-JP"/>
        </w:rPr>
        <w:t xml:space="preserve">stimate </w:t>
      </w:r>
      <w:r w:rsidR="00593F39">
        <w:rPr>
          <w:sz w:val="22"/>
          <w:szCs w:val="22"/>
          <w:lang w:eastAsia="ja-JP"/>
        </w:rPr>
        <w:t>p</w:t>
      </w:r>
      <w:r w:rsidR="00D03716" w:rsidRPr="00D03716">
        <w:rPr>
          <w:sz w:val="22"/>
          <w:szCs w:val="22"/>
          <w:lang w:eastAsia="ja-JP"/>
        </w:rPr>
        <w:t xml:space="preserve">lus </w:t>
      </w:r>
      <w:r w:rsidR="00593F39">
        <w:rPr>
          <w:sz w:val="22"/>
          <w:szCs w:val="22"/>
          <w:lang w:eastAsia="ja-JP"/>
        </w:rPr>
        <w:t>u</w:t>
      </w:r>
      <w:r w:rsidR="00D03716" w:rsidRPr="00D03716">
        <w:rPr>
          <w:sz w:val="22"/>
          <w:szCs w:val="22"/>
          <w:lang w:eastAsia="ja-JP"/>
        </w:rPr>
        <w:t>ncertainty (BEPU)</w:t>
      </w:r>
      <w:r w:rsidR="008670B2">
        <w:rPr>
          <w:sz w:val="22"/>
          <w:szCs w:val="22"/>
          <w:lang w:eastAsia="ja-JP"/>
        </w:rPr>
        <w:t xml:space="preserve"> </w:t>
      </w:r>
      <w:r w:rsidR="00394A5D">
        <w:rPr>
          <w:sz w:val="22"/>
          <w:szCs w:val="22"/>
          <w:lang w:eastAsia="ja-JP"/>
        </w:rPr>
        <w:t xml:space="preserve">and </w:t>
      </w:r>
      <w:r w:rsidR="00394A5D" w:rsidRPr="00D03716">
        <w:rPr>
          <w:sz w:val="22"/>
          <w:szCs w:val="22"/>
          <w:lang w:eastAsia="ja-JP"/>
        </w:rPr>
        <w:t xml:space="preserve">CFD </w:t>
      </w:r>
      <w:r w:rsidR="008670B2">
        <w:rPr>
          <w:sz w:val="22"/>
          <w:szCs w:val="22"/>
          <w:lang w:eastAsia="ja-JP"/>
        </w:rPr>
        <w:t>for reactor safety assessment</w:t>
      </w:r>
      <w:r w:rsidR="00D03716" w:rsidRPr="00D03716">
        <w:rPr>
          <w:sz w:val="22"/>
          <w:szCs w:val="22"/>
          <w:lang w:eastAsia="ja-JP"/>
        </w:rPr>
        <w:t xml:space="preserve">, code coupling </w:t>
      </w:r>
      <w:r w:rsidR="007C05B5">
        <w:rPr>
          <w:sz w:val="22"/>
          <w:szCs w:val="22"/>
          <w:lang w:eastAsia="ja-JP"/>
        </w:rPr>
        <w:t>among</w:t>
      </w:r>
      <w:r w:rsidR="007C05B5" w:rsidRPr="00D03716">
        <w:rPr>
          <w:sz w:val="22"/>
          <w:szCs w:val="22"/>
          <w:lang w:eastAsia="ja-JP"/>
        </w:rPr>
        <w:t xml:space="preserve"> </w:t>
      </w:r>
      <w:r w:rsidR="00D03716" w:rsidRPr="00D03716">
        <w:rPr>
          <w:sz w:val="22"/>
          <w:szCs w:val="22"/>
          <w:lang w:eastAsia="ja-JP"/>
        </w:rPr>
        <w:t xml:space="preserve">different </w:t>
      </w:r>
      <w:r w:rsidR="007C05B5">
        <w:rPr>
          <w:sz w:val="22"/>
          <w:szCs w:val="22"/>
          <w:lang w:eastAsia="ja-JP"/>
        </w:rPr>
        <w:t>physics</w:t>
      </w:r>
      <w:r w:rsidR="00D03716" w:rsidRPr="00D03716">
        <w:rPr>
          <w:sz w:val="22"/>
          <w:szCs w:val="22"/>
          <w:lang w:eastAsia="ja-JP"/>
        </w:rPr>
        <w:t xml:space="preserve">, connection with </w:t>
      </w:r>
      <w:r w:rsidR="00593F39">
        <w:rPr>
          <w:sz w:val="22"/>
          <w:szCs w:val="22"/>
          <w:lang w:eastAsia="ja-JP"/>
        </w:rPr>
        <w:t>p</w:t>
      </w:r>
      <w:r w:rsidR="00D03716" w:rsidRPr="00D03716">
        <w:rPr>
          <w:sz w:val="22"/>
          <w:szCs w:val="22"/>
          <w:lang w:eastAsia="ja-JP"/>
        </w:rPr>
        <w:t xml:space="preserve">robabilistic </w:t>
      </w:r>
      <w:r w:rsidR="00593F39">
        <w:rPr>
          <w:sz w:val="22"/>
          <w:szCs w:val="22"/>
          <w:lang w:eastAsia="ja-JP"/>
        </w:rPr>
        <w:t>s</w:t>
      </w:r>
      <w:r w:rsidR="00D03716" w:rsidRPr="00D03716">
        <w:rPr>
          <w:sz w:val="22"/>
          <w:szCs w:val="22"/>
          <w:lang w:eastAsia="ja-JP"/>
        </w:rPr>
        <w:t xml:space="preserve">afety </w:t>
      </w:r>
      <w:r w:rsidR="00593F39">
        <w:rPr>
          <w:sz w:val="22"/>
          <w:szCs w:val="22"/>
          <w:lang w:eastAsia="ja-JP"/>
        </w:rPr>
        <w:t>a</w:t>
      </w:r>
      <w:r w:rsidR="00D03716" w:rsidRPr="00D03716">
        <w:rPr>
          <w:sz w:val="22"/>
          <w:szCs w:val="22"/>
          <w:lang w:eastAsia="ja-JP"/>
        </w:rPr>
        <w:t xml:space="preserve">ssessment (PSA), </w:t>
      </w:r>
      <w:r w:rsidR="00593F39">
        <w:rPr>
          <w:sz w:val="22"/>
          <w:szCs w:val="22"/>
          <w:lang w:eastAsia="ja-JP"/>
        </w:rPr>
        <w:t>a</w:t>
      </w:r>
      <w:r w:rsidR="00D03716" w:rsidRPr="00D03716">
        <w:rPr>
          <w:sz w:val="22"/>
          <w:szCs w:val="22"/>
          <w:lang w:eastAsia="ja-JP"/>
        </w:rPr>
        <w:t xml:space="preserve">rtificial </w:t>
      </w:r>
      <w:r w:rsidR="00593F39">
        <w:rPr>
          <w:sz w:val="22"/>
          <w:szCs w:val="22"/>
          <w:lang w:eastAsia="ja-JP"/>
        </w:rPr>
        <w:t>i</w:t>
      </w:r>
      <w:r w:rsidR="00D03716" w:rsidRPr="00D03716">
        <w:rPr>
          <w:sz w:val="22"/>
          <w:szCs w:val="22"/>
          <w:lang w:eastAsia="ja-JP"/>
        </w:rPr>
        <w:t xml:space="preserve">ntelligence (AI) and </w:t>
      </w:r>
      <w:r w:rsidR="00593F39">
        <w:rPr>
          <w:sz w:val="22"/>
          <w:szCs w:val="22"/>
          <w:lang w:eastAsia="ja-JP"/>
        </w:rPr>
        <w:t>m</w:t>
      </w:r>
      <w:r w:rsidR="00D03716" w:rsidRPr="00D03716">
        <w:rPr>
          <w:sz w:val="22"/>
          <w:szCs w:val="22"/>
          <w:lang w:eastAsia="ja-JP"/>
        </w:rPr>
        <w:t xml:space="preserve">achine </w:t>
      </w:r>
      <w:r w:rsidR="00593F39">
        <w:rPr>
          <w:sz w:val="22"/>
          <w:szCs w:val="22"/>
          <w:lang w:eastAsia="ja-JP"/>
        </w:rPr>
        <w:t>l</w:t>
      </w:r>
      <w:r w:rsidR="00D03716" w:rsidRPr="00D03716">
        <w:rPr>
          <w:sz w:val="22"/>
          <w:szCs w:val="22"/>
          <w:lang w:eastAsia="ja-JP"/>
        </w:rPr>
        <w:t>earning (ML). All of th</w:t>
      </w:r>
      <w:r w:rsidR="00593F39">
        <w:rPr>
          <w:sz w:val="22"/>
          <w:szCs w:val="22"/>
          <w:lang w:eastAsia="ja-JP"/>
        </w:rPr>
        <w:t>e</w:t>
      </w:r>
      <w:r w:rsidR="00D03716" w:rsidRPr="00D03716">
        <w:rPr>
          <w:sz w:val="22"/>
          <w:szCs w:val="22"/>
          <w:lang w:eastAsia="ja-JP"/>
        </w:rPr>
        <w:t>s</w:t>
      </w:r>
      <w:r w:rsidR="00593F39">
        <w:rPr>
          <w:sz w:val="22"/>
          <w:szCs w:val="22"/>
          <w:lang w:eastAsia="ja-JP"/>
        </w:rPr>
        <w:t>e</w:t>
      </w:r>
      <w:r w:rsidR="00D03716" w:rsidRPr="00D03716">
        <w:rPr>
          <w:sz w:val="22"/>
          <w:szCs w:val="22"/>
          <w:lang w:eastAsia="ja-JP"/>
        </w:rPr>
        <w:t xml:space="preserve"> </w:t>
      </w:r>
      <w:r w:rsidR="00593F39">
        <w:rPr>
          <w:sz w:val="22"/>
          <w:szCs w:val="22"/>
          <w:lang w:eastAsia="ja-JP"/>
        </w:rPr>
        <w:t>may form</w:t>
      </w:r>
      <w:r w:rsidR="00D03716" w:rsidRPr="00D03716">
        <w:rPr>
          <w:sz w:val="22"/>
          <w:szCs w:val="22"/>
          <w:lang w:eastAsia="ja-JP"/>
        </w:rPr>
        <w:t xml:space="preserve"> a sort of virtual layers between NTH and nuclear reactor applications. Any statement about current status and </w:t>
      </w:r>
      <w:r w:rsidR="00593F39">
        <w:rPr>
          <w:sz w:val="22"/>
          <w:szCs w:val="22"/>
          <w:lang w:eastAsia="ja-JP"/>
        </w:rPr>
        <w:t xml:space="preserve">future </w:t>
      </w:r>
      <w:r w:rsidR="00D03716" w:rsidRPr="00D03716">
        <w:rPr>
          <w:sz w:val="22"/>
          <w:szCs w:val="22"/>
          <w:lang w:eastAsia="ja-JP"/>
        </w:rPr>
        <w:t>development should consider this situation.</w:t>
      </w:r>
    </w:p>
    <w:p w14:paraId="7A531213" w14:textId="0FE6378F" w:rsidR="00B66860" w:rsidRDefault="007C3240" w:rsidP="00C21323">
      <w:pPr>
        <w:pStyle w:val="BodyTextIndent"/>
        <w:widowControl w:val="0"/>
        <w:rPr>
          <w:sz w:val="22"/>
          <w:szCs w:val="22"/>
        </w:rPr>
      </w:pPr>
      <w:r>
        <w:rPr>
          <w:sz w:val="22"/>
          <w:szCs w:val="22"/>
        </w:rPr>
        <w:t>As such, t</w:t>
      </w:r>
      <w:r w:rsidR="00697603">
        <w:rPr>
          <w:sz w:val="22"/>
          <w:szCs w:val="22"/>
        </w:rPr>
        <w:t xml:space="preserve">he </w:t>
      </w:r>
      <w:r w:rsidR="00E604D1">
        <w:rPr>
          <w:sz w:val="22"/>
          <w:szCs w:val="22"/>
        </w:rPr>
        <w:t>WGAMA has contributed</w:t>
      </w:r>
      <w:r w:rsidR="007C05B5" w:rsidRPr="007C05B5">
        <w:rPr>
          <w:sz w:val="22"/>
          <w:szCs w:val="22"/>
        </w:rPr>
        <w:t xml:space="preserve"> </w:t>
      </w:r>
      <w:r w:rsidR="00E604D1">
        <w:rPr>
          <w:sz w:val="22"/>
          <w:szCs w:val="22"/>
        </w:rPr>
        <w:t xml:space="preserve">to establish </w:t>
      </w:r>
      <w:r w:rsidR="007C05B5">
        <w:rPr>
          <w:sz w:val="22"/>
          <w:szCs w:val="22"/>
        </w:rPr>
        <w:t xml:space="preserve">fundamental </w:t>
      </w:r>
      <w:r w:rsidR="00E604D1">
        <w:rPr>
          <w:sz w:val="22"/>
          <w:szCs w:val="22"/>
        </w:rPr>
        <w:t xml:space="preserve">technical bases that </w:t>
      </w:r>
      <w:r>
        <w:rPr>
          <w:sz w:val="22"/>
          <w:szCs w:val="22"/>
        </w:rPr>
        <w:t>criticall</w:t>
      </w:r>
      <w:r w:rsidR="00697603">
        <w:rPr>
          <w:sz w:val="22"/>
          <w:szCs w:val="22"/>
        </w:rPr>
        <w:t xml:space="preserve">y </w:t>
      </w:r>
      <w:r w:rsidR="00E604D1">
        <w:rPr>
          <w:sz w:val="22"/>
          <w:szCs w:val="22"/>
        </w:rPr>
        <w:t xml:space="preserve">serve </w:t>
      </w:r>
      <w:r w:rsidR="00697603">
        <w:rPr>
          <w:sz w:val="22"/>
          <w:szCs w:val="22"/>
        </w:rPr>
        <w:t xml:space="preserve">for </w:t>
      </w:r>
      <w:r w:rsidR="00E604D1">
        <w:rPr>
          <w:sz w:val="22"/>
          <w:szCs w:val="22"/>
        </w:rPr>
        <w:t xml:space="preserve">T/H safety analyses of </w:t>
      </w:r>
      <w:r w:rsidR="00697603">
        <w:rPr>
          <w:sz w:val="22"/>
          <w:szCs w:val="22"/>
        </w:rPr>
        <w:t xml:space="preserve">operating </w:t>
      </w:r>
      <w:r w:rsidR="00E604D1">
        <w:rPr>
          <w:sz w:val="22"/>
          <w:szCs w:val="22"/>
        </w:rPr>
        <w:t>LWRs. Perspectives include the assessment of the applicability of</w:t>
      </w:r>
      <w:r w:rsidR="00A17E84">
        <w:rPr>
          <w:sz w:val="22"/>
          <w:szCs w:val="22"/>
        </w:rPr>
        <w:t xml:space="preserve"> the </w:t>
      </w:r>
      <w:r>
        <w:rPr>
          <w:sz w:val="22"/>
          <w:szCs w:val="22"/>
        </w:rPr>
        <w:t xml:space="preserve">established </w:t>
      </w:r>
      <w:r w:rsidR="00A17E84">
        <w:rPr>
          <w:sz w:val="22"/>
          <w:szCs w:val="22"/>
        </w:rPr>
        <w:t>technical bases for SMRs, featuring scaling aspects and efficiency of passive systems.</w:t>
      </w:r>
    </w:p>
    <w:p w14:paraId="161B5236" w14:textId="77777777" w:rsidR="00697603" w:rsidRDefault="00697603" w:rsidP="00C21323">
      <w:pPr>
        <w:pStyle w:val="BodyTextIndent"/>
        <w:widowControl w:val="0"/>
        <w:rPr>
          <w:sz w:val="22"/>
          <w:szCs w:val="22"/>
        </w:rPr>
      </w:pPr>
    </w:p>
    <w:p w14:paraId="675A48A1" w14:textId="07E1E88A" w:rsidR="00781B6A" w:rsidRPr="00D40DF4" w:rsidRDefault="00781B6A" w:rsidP="00697603">
      <w:pPr>
        <w:pStyle w:val="AbstractClauseTitle"/>
        <w:widowControl w:val="0"/>
        <w:jc w:val="left"/>
        <w:rPr>
          <w:rFonts w:ascii="Times New Roman" w:hAnsi="Times New Roman"/>
          <w:sz w:val="22"/>
          <w:szCs w:val="22"/>
        </w:rPr>
      </w:pPr>
      <w:r w:rsidRPr="00D40DF4">
        <w:rPr>
          <w:rFonts w:ascii="Times New Roman" w:hAnsi="Times New Roman"/>
          <w:sz w:val="22"/>
          <w:szCs w:val="22"/>
        </w:rPr>
        <w:t>II</w:t>
      </w:r>
      <w:r w:rsidR="00E13341">
        <w:rPr>
          <w:rFonts w:ascii="Times New Roman" w:hAnsi="Times New Roman"/>
          <w:sz w:val="22"/>
          <w:szCs w:val="22"/>
        </w:rPr>
        <w:t>I</w:t>
      </w:r>
      <w:r w:rsidRPr="00D40DF4">
        <w:rPr>
          <w:rFonts w:ascii="Times New Roman" w:hAnsi="Times New Roman"/>
          <w:sz w:val="22"/>
          <w:szCs w:val="22"/>
        </w:rPr>
        <w:t xml:space="preserve">. </w:t>
      </w:r>
      <w:r w:rsidR="00EC2E96" w:rsidRPr="00D40DF4">
        <w:rPr>
          <w:rFonts w:ascii="Times New Roman" w:hAnsi="Times New Roman"/>
          <w:sz w:val="22"/>
          <w:szCs w:val="22"/>
        </w:rPr>
        <w:t>R</w:t>
      </w:r>
      <w:r w:rsidR="00EC2E96" w:rsidRPr="00D40DF4">
        <w:rPr>
          <w:rFonts w:ascii="Times New Roman" w:hAnsi="Times New Roman"/>
          <w:caps w:val="0"/>
          <w:sz w:val="22"/>
          <w:szCs w:val="22"/>
        </w:rPr>
        <w:t>ecent WGAMA activities and outcome</w:t>
      </w:r>
      <w:r w:rsidR="00D40DF4">
        <w:rPr>
          <w:rFonts w:ascii="Times New Roman" w:hAnsi="Times New Roman"/>
          <w:caps w:val="0"/>
          <w:sz w:val="22"/>
          <w:szCs w:val="22"/>
        </w:rPr>
        <w:t xml:space="preserve"> in the </w:t>
      </w:r>
      <w:r w:rsidR="00D40DF4">
        <w:rPr>
          <w:rFonts w:ascii="Times New Roman" w:hAnsi="Times New Roman"/>
          <w:caps w:val="0"/>
          <w:sz w:val="22"/>
          <w:szCs w:val="22"/>
        </w:rPr>
        <w:lastRenderedPageBreak/>
        <w:t>field of CFD</w:t>
      </w:r>
    </w:p>
    <w:p w14:paraId="0DA134B0" w14:textId="0E12AEC5" w:rsidR="00781B6A" w:rsidRDefault="00EC2E96" w:rsidP="00697603">
      <w:pPr>
        <w:pStyle w:val="BodyTextIndent"/>
        <w:widowControl w:val="0"/>
        <w:rPr>
          <w:sz w:val="22"/>
          <w:szCs w:val="22"/>
        </w:rPr>
      </w:pPr>
      <w:r w:rsidRPr="00D40DF4">
        <w:rPr>
          <w:sz w:val="22"/>
          <w:szCs w:val="22"/>
        </w:rPr>
        <w:t xml:space="preserve">Computational fluid dynamics (CFD) </w:t>
      </w:r>
      <w:r w:rsidR="00DD4652">
        <w:rPr>
          <w:sz w:val="22"/>
          <w:szCs w:val="22"/>
        </w:rPr>
        <w:t xml:space="preserve">code </w:t>
      </w:r>
      <w:r w:rsidRPr="00D40DF4">
        <w:rPr>
          <w:sz w:val="22"/>
          <w:szCs w:val="22"/>
        </w:rPr>
        <w:t>is a</w:t>
      </w:r>
      <w:r w:rsidRPr="00EC2E96">
        <w:rPr>
          <w:sz w:val="22"/>
          <w:szCs w:val="22"/>
        </w:rPr>
        <w:t xml:space="preserve"> cross cutting analysis tool potentially applicable to detailed analyses of local multi-dimensional flows (e.g.</w:t>
      </w:r>
      <w:r w:rsidR="00DD4652">
        <w:rPr>
          <w:sz w:val="22"/>
          <w:szCs w:val="22"/>
        </w:rPr>
        <w:t>,</w:t>
      </w:r>
      <w:r w:rsidRPr="00EC2E96">
        <w:rPr>
          <w:sz w:val="22"/>
          <w:szCs w:val="22"/>
        </w:rPr>
        <w:t xml:space="preserve"> coolant</w:t>
      </w:r>
      <w:r w:rsidR="007C3240">
        <w:rPr>
          <w:sz w:val="22"/>
          <w:szCs w:val="22"/>
        </w:rPr>
        <w:t xml:space="preserve"> circuits</w:t>
      </w:r>
      <w:r w:rsidRPr="00EC2E96">
        <w:rPr>
          <w:sz w:val="22"/>
          <w:szCs w:val="22"/>
        </w:rPr>
        <w:t xml:space="preserve">, </w:t>
      </w:r>
      <w:r w:rsidR="007C3240">
        <w:rPr>
          <w:sz w:val="22"/>
          <w:szCs w:val="22"/>
        </w:rPr>
        <w:t xml:space="preserve">fuel bundles, </w:t>
      </w:r>
      <w:r w:rsidR="00DD4652">
        <w:rPr>
          <w:sz w:val="22"/>
          <w:szCs w:val="22"/>
        </w:rPr>
        <w:t xml:space="preserve">fuel </w:t>
      </w:r>
      <w:r w:rsidRPr="00EC2E96">
        <w:rPr>
          <w:sz w:val="22"/>
          <w:szCs w:val="22"/>
        </w:rPr>
        <w:t>melt</w:t>
      </w:r>
      <w:r w:rsidR="00697898">
        <w:rPr>
          <w:sz w:val="22"/>
          <w:szCs w:val="22"/>
        </w:rPr>
        <w:t>s</w:t>
      </w:r>
      <w:r w:rsidRPr="00EC2E96">
        <w:rPr>
          <w:sz w:val="22"/>
          <w:szCs w:val="22"/>
        </w:rPr>
        <w:t xml:space="preserve">, </w:t>
      </w:r>
      <w:r w:rsidR="00DD4652">
        <w:rPr>
          <w:sz w:val="22"/>
          <w:szCs w:val="22"/>
        </w:rPr>
        <w:t xml:space="preserve">steam and/or </w:t>
      </w:r>
      <w:r w:rsidRPr="00EC2E96">
        <w:rPr>
          <w:sz w:val="22"/>
          <w:szCs w:val="22"/>
        </w:rPr>
        <w:t>gas</w:t>
      </w:r>
      <w:r w:rsidR="00DD4652">
        <w:rPr>
          <w:sz w:val="22"/>
          <w:szCs w:val="22"/>
        </w:rPr>
        <w:t xml:space="preserve"> that may </w:t>
      </w:r>
      <w:r w:rsidR="00697898">
        <w:rPr>
          <w:sz w:val="22"/>
          <w:szCs w:val="22"/>
        </w:rPr>
        <w:t>convey</w:t>
      </w:r>
      <w:r w:rsidR="00DD4652">
        <w:rPr>
          <w:sz w:val="22"/>
          <w:szCs w:val="22"/>
        </w:rPr>
        <w:t xml:space="preserve"> fission product (FP) aerosols</w:t>
      </w:r>
      <w:r w:rsidRPr="00EC2E96">
        <w:rPr>
          <w:sz w:val="22"/>
          <w:szCs w:val="22"/>
        </w:rPr>
        <w:t>, and their mixture</w:t>
      </w:r>
      <w:r w:rsidR="00697898">
        <w:rPr>
          <w:sz w:val="22"/>
          <w:szCs w:val="22"/>
        </w:rPr>
        <w:t>s</w:t>
      </w:r>
      <w:r w:rsidRPr="00EC2E96">
        <w:rPr>
          <w:sz w:val="22"/>
          <w:szCs w:val="22"/>
        </w:rPr>
        <w:t xml:space="preserve">) that </w:t>
      </w:r>
      <w:r w:rsidR="00697898">
        <w:rPr>
          <w:sz w:val="22"/>
          <w:szCs w:val="22"/>
        </w:rPr>
        <w:t xml:space="preserve">may </w:t>
      </w:r>
      <w:r w:rsidRPr="00EC2E96">
        <w:rPr>
          <w:sz w:val="22"/>
          <w:szCs w:val="22"/>
        </w:rPr>
        <w:t xml:space="preserve">appear in </w:t>
      </w:r>
      <w:r w:rsidR="007C3240">
        <w:rPr>
          <w:sz w:val="22"/>
          <w:szCs w:val="22"/>
        </w:rPr>
        <w:t>all kinds of reactor</w:t>
      </w:r>
      <w:r w:rsidR="007C3240" w:rsidRPr="00EC2E96">
        <w:rPr>
          <w:sz w:val="22"/>
          <w:szCs w:val="22"/>
        </w:rPr>
        <w:t xml:space="preserve"> </w:t>
      </w:r>
      <w:r w:rsidRPr="00EC2E96">
        <w:rPr>
          <w:sz w:val="22"/>
          <w:szCs w:val="22"/>
        </w:rPr>
        <w:t>accident</w:t>
      </w:r>
      <w:r w:rsidR="007C3240">
        <w:rPr>
          <w:sz w:val="22"/>
          <w:szCs w:val="22"/>
        </w:rPr>
        <w:t>s</w:t>
      </w:r>
      <w:r w:rsidRPr="00EC2E96">
        <w:rPr>
          <w:sz w:val="22"/>
          <w:szCs w:val="22"/>
        </w:rPr>
        <w:t xml:space="preserve"> of DBAs, DECs, and SAs.</w:t>
      </w:r>
    </w:p>
    <w:p w14:paraId="6A3EAFC9" w14:textId="03F72D77" w:rsidR="00EC2E96" w:rsidRDefault="00EC2E96" w:rsidP="005F32EF">
      <w:pPr>
        <w:pStyle w:val="BodyTextIndent"/>
        <w:widowControl w:val="0"/>
        <w:rPr>
          <w:sz w:val="22"/>
          <w:szCs w:val="22"/>
        </w:rPr>
      </w:pPr>
      <w:r w:rsidRPr="00EC2E96">
        <w:rPr>
          <w:sz w:val="22"/>
          <w:szCs w:val="22"/>
        </w:rPr>
        <w:t>The WGAMA</w:t>
      </w:r>
      <w:r w:rsidR="00DB2F57" w:rsidRPr="00DB2F57">
        <w:rPr>
          <w:sz w:val="22"/>
          <w:szCs w:val="22"/>
        </w:rPr>
        <w:t xml:space="preserve"> </w:t>
      </w:r>
      <w:r w:rsidR="00DB2F57">
        <w:rPr>
          <w:sz w:val="22"/>
          <w:szCs w:val="22"/>
        </w:rPr>
        <w:t>formed the</w:t>
      </w:r>
      <w:r w:rsidRPr="00EC2E96">
        <w:rPr>
          <w:sz w:val="22"/>
          <w:szCs w:val="22"/>
        </w:rPr>
        <w:t xml:space="preserve"> CFD</w:t>
      </w:r>
      <w:r w:rsidR="00684383">
        <w:rPr>
          <w:sz w:val="22"/>
          <w:szCs w:val="22"/>
        </w:rPr>
        <w:t xml:space="preserve"> task group</w:t>
      </w:r>
      <w:r w:rsidR="005B01C5">
        <w:rPr>
          <w:sz w:val="22"/>
          <w:szCs w:val="22"/>
        </w:rPr>
        <w:t xml:space="preserve"> (TG)</w:t>
      </w:r>
      <w:r w:rsidRPr="00EC2E96">
        <w:rPr>
          <w:sz w:val="22"/>
          <w:szCs w:val="22"/>
        </w:rPr>
        <w:t xml:space="preserve"> in 2000</w:t>
      </w:r>
      <w:r w:rsidR="00DB2F57">
        <w:rPr>
          <w:sz w:val="22"/>
          <w:szCs w:val="22"/>
        </w:rPr>
        <w:t>, which</w:t>
      </w:r>
      <w:r w:rsidRPr="00EC2E96">
        <w:rPr>
          <w:sz w:val="22"/>
          <w:szCs w:val="22"/>
        </w:rPr>
        <w:t xml:space="preserve"> has </w:t>
      </w:r>
      <w:r w:rsidR="007E2B5E">
        <w:rPr>
          <w:sz w:val="22"/>
          <w:szCs w:val="22"/>
        </w:rPr>
        <w:t>actively</w:t>
      </w:r>
      <w:r w:rsidR="00DB2F57">
        <w:rPr>
          <w:sz w:val="22"/>
          <w:szCs w:val="22"/>
        </w:rPr>
        <w:t xml:space="preserve"> </w:t>
      </w:r>
      <w:r w:rsidRPr="00EC2E96">
        <w:rPr>
          <w:sz w:val="22"/>
          <w:szCs w:val="22"/>
        </w:rPr>
        <w:t xml:space="preserve">produced several </w:t>
      </w:r>
      <w:r w:rsidR="00104B68">
        <w:rPr>
          <w:sz w:val="22"/>
          <w:szCs w:val="22"/>
        </w:rPr>
        <w:t xml:space="preserve">reference </w:t>
      </w:r>
      <w:r w:rsidRPr="00EC2E96">
        <w:rPr>
          <w:sz w:val="22"/>
          <w:szCs w:val="22"/>
        </w:rPr>
        <w:t>documents</w:t>
      </w:r>
      <w:r w:rsidR="00D00276" w:rsidRPr="00EC2E96">
        <w:rPr>
          <w:sz w:val="22"/>
          <w:szCs w:val="22"/>
        </w:rPr>
        <w:t xml:space="preserve"> </w:t>
      </w:r>
      <w:r w:rsidR="00D00276" w:rsidRPr="005429D0">
        <w:rPr>
          <w:sz w:val="22"/>
          <w:szCs w:val="22"/>
          <w:highlight w:val="green"/>
        </w:rPr>
        <w:t>[</w:t>
      </w:r>
      <w:r w:rsidR="00D00276">
        <w:rPr>
          <w:sz w:val="22"/>
          <w:szCs w:val="22"/>
          <w:highlight w:val="green"/>
        </w:rPr>
        <w:t>7, 8</w:t>
      </w:r>
      <w:r w:rsidR="00D00276" w:rsidRPr="005429D0">
        <w:rPr>
          <w:sz w:val="22"/>
          <w:szCs w:val="22"/>
          <w:highlight w:val="green"/>
        </w:rPr>
        <w:t>]</w:t>
      </w:r>
      <w:r w:rsidRPr="00EC2E96">
        <w:rPr>
          <w:sz w:val="22"/>
          <w:szCs w:val="22"/>
        </w:rPr>
        <w:t xml:space="preserve">. </w:t>
      </w:r>
      <w:r w:rsidR="00DB2F57">
        <w:rPr>
          <w:sz w:val="22"/>
          <w:szCs w:val="22"/>
        </w:rPr>
        <w:t>T</w:t>
      </w:r>
      <w:r w:rsidRPr="00EC2E96">
        <w:rPr>
          <w:sz w:val="22"/>
          <w:szCs w:val="22"/>
        </w:rPr>
        <w:t xml:space="preserve">he Best Practice Guidelines (BPGs) </w:t>
      </w:r>
      <w:r w:rsidR="00DB2F57">
        <w:rPr>
          <w:sz w:val="22"/>
          <w:szCs w:val="22"/>
        </w:rPr>
        <w:t xml:space="preserve">describes </w:t>
      </w:r>
      <w:r w:rsidRPr="00EC2E96">
        <w:rPr>
          <w:sz w:val="22"/>
          <w:szCs w:val="22"/>
        </w:rPr>
        <w:t xml:space="preserve">all the </w:t>
      </w:r>
      <w:r w:rsidR="00BC083E">
        <w:rPr>
          <w:sz w:val="22"/>
          <w:szCs w:val="22"/>
        </w:rPr>
        <w:t xml:space="preserve">possible </w:t>
      </w:r>
      <w:r w:rsidRPr="00EC2E96">
        <w:rPr>
          <w:sz w:val="22"/>
          <w:szCs w:val="22"/>
        </w:rPr>
        <w:t xml:space="preserve">issues related to a nuclear safety study </w:t>
      </w:r>
      <w:r w:rsidR="00BC083E">
        <w:rPr>
          <w:sz w:val="22"/>
          <w:szCs w:val="22"/>
        </w:rPr>
        <w:t>by means of</w:t>
      </w:r>
      <w:r w:rsidRPr="00EC2E96">
        <w:rPr>
          <w:sz w:val="22"/>
          <w:szCs w:val="22"/>
        </w:rPr>
        <w:t xml:space="preserve"> CFD </w:t>
      </w:r>
      <w:r w:rsidR="00BC083E">
        <w:rPr>
          <w:sz w:val="22"/>
          <w:szCs w:val="22"/>
        </w:rPr>
        <w:t>analyses</w:t>
      </w:r>
      <w:r w:rsidR="00D00276" w:rsidRPr="00EC2E96">
        <w:rPr>
          <w:sz w:val="22"/>
          <w:szCs w:val="22"/>
        </w:rPr>
        <w:t xml:space="preserve"> </w:t>
      </w:r>
      <w:r w:rsidR="00D00276" w:rsidRPr="005429D0">
        <w:rPr>
          <w:sz w:val="22"/>
          <w:szCs w:val="22"/>
          <w:highlight w:val="green"/>
        </w:rPr>
        <w:t>[</w:t>
      </w:r>
      <w:r w:rsidR="00D00276">
        <w:rPr>
          <w:sz w:val="22"/>
          <w:szCs w:val="22"/>
          <w:highlight w:val="green"/>
        </w:rPr>
        <w:t>9</w:t>
      </w:r>
      <w:r w:rsidR="00D00276" w:rsidRPr="005429D0">
        <w:rPr>
          <w:sz w:val="22"/>
          <w:szCs w:val="22"/>
          <w:highlight w:val="green"/>
        </w:rPr>
        <w:t>,</w:t>
      </w:r>
      <w:r w:rsidR="00D00276">
        <w:rPr>
          <w:sz w:val="22"/>
          <w:szCs w:val="22"/>
          <w:highlight w:val="green"/>
        </w:rPr>
        <w:t xml:space="preserve"> 10</w:t>
      </w:r>
      <w:r w:rsidR="00D00276" w:rsidRPr="005429D0">
        <w:rPr>
          <w:sz w:val="22"/>
          <w:szCs w:val="22"/>
          <w:highlight w:val="green"/>
        </w:rPr>
        <w:t>]</w:t>
      </w:r>
      <w:r w:rsidRPr="00EC2E96">
        <w:rPr>
          <w:sz w:val="22"/>
          <w:szCs w:val="22"/>
        </w:rPr>
        <w:t>. The CFD</w:t>
      </w:r>
      <w:r w:rsidR="00BC083E">
        <w:rPr>
          <w:sz w:val="22"/>
          <w:szCs w:val="22"/>
        </w:rPr>
        <w:t>-TG</w:t>
      </w:r>
      <w:r w:rsidRPr="00EC2E96">
        <w:rPr>
          <w:sz w:val="22"/>
          <w:szCs w:val="22"/>
        </w:rPr>
        <w:t xml:space="preserve"> has </w:t>
      </w:r>
      <w:r w:rsidR="00684383" w:rsidRPr="00EC2E96">
        <w:rPr>
          <w:sz w:val="22"/>
          <w:szCs w:val="22"/>
        </w:rPr>
        <w:t>organized</w:t>
      </w:r>
      <w:r w:rsidRPr="00EC2E96">
        <w:rPr>
          <w:sz w:val="22"/>
          <w:szCs w:val="22"/>
        </w:rPr>
        <w:t xml:space="preserve"> </w:t>
      </w:r>
      <w:r w:rsidR="0082523B">
        <w:rPr>
          <w:sz w:val="22"/>
          <w:szCs w:val="22"/>
        </w:rPr>
        <w:t xml:space="preserve">a series </w:t>
      </w:r>
      <w:r w:rsidRPr="00EC2E96">
        <w:rPr>
          <w:sz w:val="22"/>
          <w:szCs w:val="22"/>
        </w:rPr>
        <w:t xml:space="preserve">of CFD4NRS </w:t>
      </w:r>
      <w:r w:rsidR="0082523B">
        <w:rPr>
          <w:sz w:val="22"/>
          <w:szCs w:val="22"/>
        </w:rPr>
        <w:t>WS at</w:t>
      </w:r>
      <w:r w:rsidRPr="00EC2E96">
        <w:rPr>
          <w:sz w:val="22"/>
          <w:szCs w:val="22"/>
        </w:rPr>
        <w:t xml:space="preserve"> two</w:t>
      </w:r>
      <w:r w:rsidR="0082523B">
        <w:rPr>
          <w:sz w:val="22"/>
          <w:szCs w:val="22"/>
        </w:rPr>
        <w:t>-</w:t>
      </w:r>
      <w:r w:rsidRPr="00EC2E96">
        <w:rPr>
          <w:sz w:val="22"/>
          <w:szCs w:val="22"/>
        </w:rPr>
        <w:t>year</w:t>
      </w:r>
      <w:r w:rsidR="0082523B">
        <w:rPr>
          <w:sz w:val="22"/>
          <w:szCs w:val="22"/>
        </w:rPr>
        <w:t xml:space="preserve"> interval</w:t>
      </w:r>
      <w:r w:rsidRPr="00EC2E96">
        <w:rPr>
          <w:sz w:val="22"/>
          <w:szCs w:val="22"/>
        </w:rPr>
        <w:t xml:space="preserve"> </w:t>
      </w:r>
      <w:r w:rsidRPr="00925AFE">
        <w:rPr>
          <w:sz w:val="22"/>
          <w:szCs w:val="22"/>
          <w:highlight w:val="green"/>
        </w:rPr>
        <w:t>[</w:t>
      </w:r>
      <w:r w:rsidR="007077A5">
        <w:rPr>
          <w:sz w:val="22"/>
          <w:szCs w:val="22"/>
          <w:highlight w:val="green"/>
        </w:rPr>
        <w:t>11</w:t>
      </w:r>
      <w:r w:rsidRPr="00925AFE">
        <w:rPr>
          <w:sz w:val="22"/>
          <w:szCs w:val="22"/>
          <w:highlight w:val="green"/>
        </w:rPr>
        <w:t>]</w:t>
      </w:r>
      <w:r w:rsidRPr="00EC2E96">
        <w:rPr>
          <w:sz w:val="22"/>
          <w:szCs w:val="22"/>
        </w:rPr>
        <w:t xml:space="preserve">. </w:t>
      </w:r>
      <w:r w:rsidR="007108D1">
        <w:rPr>
          <w:sz w:val="22"/>
          <w:szCs w:val="22"/>
        </w:rPr>
        <w:t>The</w:t>
      </w:r>
      <w:r w:rsidRPr="00EC2E96">
        <w:rPr>
          <w:sz w:val="22"/>
          <w:szCs w:val="22"/>
        </w:rPr>
        <w:t xml:space="preserve"> ninth WS (CFD4NRS-9) </w:t>
      </w:r>
      <w:r w:rsidR="006105E1">
        <w:rPr>
          <w:sz w:val="22"/>
          <w:szCs w:val="22"/>
        </w:rPr>
        <w:t>was successfully</w:t>
      </w:r>
      <w:r w:rsidR="00925AFE">
        <w:rPr>
          <w:sz w:val="22"/>
          <w:szCs w:val="22"/>
        </w:rPr>
        <w:t xml:space="preserve"> held </w:t>
      </w:r>
      <w:r w:rsidR="00684383">
        <w:rPr>
          <w:sz w:val="22"/>
          <w:szCs w:val="22"/>
        </w:rPr>
        <w:t>in February</w:t>
      </w:r>
      <w:r w:rsidRPr="00EC2E96">
        <w:rPr>
          <w:sz w:val="22"/>
          <w:szCs w:val="22"/>
        </w:rPr>
        <w:t xml:space="preserve"> 2023</w:t>
      </w:r>
      <w:r w:rsidR="00684383">
        <w:rPr>
          <w:sz w:val="22"/>
          <w:szCs w:val="22"/>
        </w:rPr>
        <w:t>,</w:t>
      </w:r>
      <w:r w:rsidR="00925AFE">
        <w:rPr>
          <w:sz w:val="22"/>
          <w:szCs w:val="22"/>
        </w:rPr>
        <w:t xml:space="preserve"> hosted by Texas A&amp;M University in </w:t>
      </w:r>
      <w:r w:rsidR="00104B68">
        <w:rPr>
          <w:sz w:val="22"/>
          <w:szCs w:val="22"/>
        </w:rPr>
        <w:t xml:space="preserve">the </w:t>
      </w:r>
      <w:r w:rsidR="00684383">
        <w:rPr>
          <w:sz w:val="22"/>
          <w:szCs w:val="22"/>
        </w:rPr>
        <w:t>United States</w:t>
      </w:r>
      <w:r w:rsidR="00925AFE">
        <w:rPr>
          <w:sz w:val="22"/>
          <w:szCs w:val="22"/>
        </w:rPr>
        <w:t xml:space="preserve"> </w:t>
      </w:r>
      <w:r w:rsidR="00925AFE" w:rsidRPr="00925AFE">
        <w:rPr>
          <w:sz w:val="22"/>
          <w:szCs w:val="22"/>
          <w:highlight w:val="green"/>
        </w:rPr>
        <w:t>[</w:t>
      </w:r>
      <w:r w:rsidR="007077A5">
        <w:rPr>
          <w:sz w:val="22"/>
          <w:szCs w:val="22"/>
          <w:highlight w:val="green"/>
        </w:rPr>
        <w:t>12</w:t>
      </w:r>
      <w:r w:rsidR="00925AFE" w:rsidRPr="00925AFE">
        <w:rPr>
          <w:sz w:val="22"/>
          <w:szCs w:val="22"/>
          <w:highlight w:val="green"/>
        </w:rPr>
        <w:t>]</w:t>
      </w:r>
      <w:r w:rsidR="006105E1" w:rsidRPr="005F32EF">
        <w:rPr>
          <w:sz w:val="22"/>
          <w:szCs w:val="22"/>
        </w:rPr>
        <w:t>. T</w:t>
      </w:r>
      <w:r w:rsidR="00925AFE" w:rsidRPr="005F32EF">
        <w:rPr>
          <w:sz w:val="22"/>
          <w:szCs w:val="22"/>
        </w:rPr>
        <w:t xml:space="preserve">he next one is planned to </w:t>
      </w:r>
      <w:r w:rsidR="006105E1" w:rsidRPr="005F32EF">
        <w:rPr>
          <w:sz w:val="22"/>
          <w:szCs w:val="22"/>
        </w:rPr>
        <w:t xml:space="preserve">be </w:t>
      </w:r>
      <w:r w:rsidR="00925AFE" w:rsidRPr="005F32EF">
        <w:rPr>
          <w:sz w:val="22"/>
          <w:szCs w:val="22"/>
        </w:rPr>
        <w:t xml:space="preserve">hosted </w:t>
      </w:r>
      <w:r w:rsidR="00684383" w:rsidRPr="005F32EF">
        <w:rPr>
          <w:sz w:val="22"/>
          <w:szCs w:val="22"/>
        </w:rPr>
        <w:t>b</w:t>
      </w:r>
      <w:r w:rsidR="00925AFE" w:rsidRPr="005F32EF">
        <w:rPr>
          <w:sz w:val="22"/>
          <w:szCs w:val="22"/>
        </w:rPr>
        <w:t>y JAEA in Japan tentatively in 2025</w:t>
      </w:r>
      <w:r w:rsidR="00684383" w:rsidRPr="008B1C18">
        <w:rPr>
          <w:sz w:val="22"/>
          <w:szCs w:val="22"/>
        </w:rPr>
        <w:t>. The</w:t>
      </w:r>
      <w:r w:rsidR="00684383">
        <w:rPr>
          <w:sz w:val="22"/>
          <w:szCs w:val="22"/>
        </w:rPr>
        <w:t xml:space="preserve"> CFD</w:t>
      </w:r>
      <w:r w:rsidR="006105E1">
        <w:rPr>
          <w:sz w:val="22"/>
          <w:szCs w:val="22"/>
        </w:rPr>
        <w:t>-TG</w:t>
      </w:r>
      <w:r w:rsidRPr="00EC2E96">
        <w:rPr>
          <w:sz w:val="22"/>
          <w:szCs w:val="22"/>
        </w:rPr>
        <w:t xml:space="preserve"> has also </w:t>
      </w:r>
      <w:r w:rsidR="00684383" w:rsidRPr="00EC2E96">
        <w:rPr>
          <w:sz w:val="22"/>
          <w:szCs w:val="22"/>
        </w:rPr>
        <w:t>organized</w:t>
      </w:r>
      <w:r w:rsidRPr="00EC2E96">
        <w:rPr>
          <w:sz w:val="22"/>
          <w:szCs w:val="22"/>
        </w:rPr>
        <w:t xml:space="preserve"> six benchmark exercises since 2011 </w:t>
      </w:r>
      <w:r w:rsidRPr="00925AFE">
        <w:rPr>
          <w:sz w:val="22"/>
          <w:szCs w:val="22"/>
          <w:highlight w:val="green"/>
        </w:rPr>
        <w:t>[</w:t>
      </w:r>
      <w:r w:rsidR="007077A5" w:rsidRPr="00925AFE">
        <w:rPr>
          <w:sz w:val="22"/>
          <w:szCs w:val="22"/>
          <w:highlight w:val="green"/>
        </w:rPr>
        <w:t>1</w:t>
      </w:r>
      <w:r w:rsidR="007077A5">
        <w:rPr>
          <w:sz w:val="22"/>
          <w:szCs w:val="22"/>
          <w:highlight w:val="green"/>
        </w:rPr>
        <w:t>3, 14</w:t>
      </w:r>
      <w:r w:rsidRPr="00925AFE">
        <w:rPr>
          <w:sz w:val="22"/>
          <w:szCs w:val="22"/>
          <w:highlight w:val="green"/>
        </w:rPr>
        <w:t>]</w:t>
      </w:r>
      <w:r w:rsidRPr="00EC2E96">
        <w:rPr>
          <w:sz w:val="22"/>
          <w:szCs w:val="22"/>
        </w:rPr>
        <w:t xml:space="preserve">. </w:t>
      </w:r>
      <w:r w:rsidR="006105E1">
        <w:rPr>
          <w:sz w:val="22"/>
          <w:szCs w:val="22"/>
        </w:rPr>
        <w:t>The latest</w:t>
      </w:r>
      <w:r w:rsidRPr="00EC2E96">
        <w:rPr>
          <w:sz w:val="22"/>
          <w:szCs w:val="22"/>
        </w:rPr>
        <w:t xml:space="preserve"> one </w:t>
      </w:r>
      <w:r w:rsidR="006105E1">
        <w:rPr>
          <w:sz w:val="22"/>
          <w:szCs w:val="22"/>
        </w:rPr>
        <w:t>wa</w:t>
      </w:r>
      <w:r w:rsidR="006105E1" w:rsidRPr="00EC2E96">
        <w:rPr>
          <w:sz w:val="22"/>
          <w:szCs w:val="22"/>
        </w:rPr>
        <w:t xml:space="preserve">s </w:t>
      </w:r>
      <w:r w:rsidR="006105E1">
        <w:rPr>
          <w:sz w:val="22"/>
          <w:szCs w:val="22"/>
        </w:rPr>
        <w:t xml:space="preserve">just </w:t>
      </w:r>
      <w:r w:rsidR="00925AFE">
        <w:rPr>
          <w:sz w:val="22"/>
          <w:szCs w:val="22"/>
        </w:rPr>
        <w:t>started</w:t>
      </w:r>
      <w:r w:rsidRPr="00EC2E96">
        <w:rPr>
          <w:sz w:val="22"/>
          <w:szCs w:val="22"/>
        </w:rPr>
        <w:t xml:space="preserve"> </w:t>
      </w:r>
      <w:r w:rsidR="006105E1">
        <w:rPr>
          <w:sz w:val="22"/>
          <w:szCs w:val="22"/>
        </w:rPr>
        <w:t xml:space="preserve">in 2023 </w:t>
      </w:r>
      <w:r w:rsidRPr="00EC2E96">
        <w:rPr>
          <w:sz w:val="22"/>
          <w:szCs w:val="22"/>
        </w:rPr>
        <w:t xml:space="preserve">on </w:t>
      </w:r>
      <w:r w:rsidR="006105E1">
        <w:rPr>
          <w:sz w:val="22"/>
          <w:szCs w:val="22"/>
        </w:rPr>
        <w:t xml:space="preserve">unstable </w:t>
      </w:r>
      <w:r w:rsidRPr="00EC2E96">
        <w:rPr>
          <w:sz w:val="22"/>
          <w:szCs w:val="22"/>
        </w:rPr>
        <w:t>thermal mixing and pipe wall fatigue in a dead</w:t>
      </w:r>
      <w:r w:rsidR="006105E1">
        <w:rPr>
          <w:sz w:val="22"/>
          <w:szCs w:val="22"/>
        </w:rPr>
        <w:t>-end</w:t>
      </w:r>
      <w:r w:rsidRPr="00EC2E96">
        <w:rPr>
          <w:sz w:val="22"/>
          <w:szCs w:val="22"/>
        </w:rPr>
        <w:t xml:space="preserve"> leg</w:t>
      </w:r>
      <w:r w:rsidR="006105E1">
        <w:rPr>
          <w:sz w:val="22"/>
          <w:szCs w:val="22"/>
        </w:rPr>
        <w:t xml:space="preserve"> connected to main piping </w:t>
      </w:r>
      <w:r w:rsidR="006105E1" w:rsidRPr="00EC2E96">
        <w:rPr>
          <w:sz w:val="22"/>
          <w:szCs w:val="22"/>
        </w:rPr>
        <w:t>with a T-junction</w:t>
      </w:r>
      <w:r w:rsidRPr="00EC2E96">
        <w:rPr>
          <w:sz w:val="22"/>
          <w:szCs w:val="22"/>
        </w:rPr>
        <w:t>.</w:t>
      </w:r>
    </w:p>
    <w:p w14:paraId="4DCB4657" w14:textId="46DAD7E6" w:rsidR="009516F4" w:rsidRDefault="00312596">
      <w:pPr>
        <w:pStyle w:val="BodyTextIndent"/>
        <w:rPr>
          <w:sz w:val="22"/>
          <w:szCs w:val="22"/>
        </w:rPr>
      </w:pPr>
      <w:r>
        <w:rPr>
          <w:sz w:val="22"/>
          <w:szCs w:val="22"/>
        </w:rPr>
        <w:t>A few</w:t>
      </w:r>
      <w:r w:rsidR="009516F4">
        <w:rPr>
          <w:sz w:val="22"/>
          <w:szCs w:val="22"/>
        </w:rPr>
        <w:t xml:space="preserve"> example</w:t>
      </w:r>
      <w:r w:rsidR="00CF667F">
        <w:rPr>
          <w:sz w:val="22"/>
          <w:szCs w:val="22"/>
        </w:rPr>
        <w:t>s</w:t>
      </w:r>
      <w:r w:rsidR="009516F4">
        <w:rPr>
          <w:sz w:val="22"/>
          <w:szCs w:val="22"/>
        </w:rPr>
        <w:t xml:space="preserve"> of recent </w:t>
      </w:r>
      <w:r w:rsidR="00D00276">
        <w:rPr>
          <w:sz w:val="22"/>
          <w:szCs w:val="22"/>
        </w:rPr>
        <w:t xml:space="preserve">CFD-relevant </w:t>
      </w:r>
      <w:r w:rsidR="009516F4">
        <w:rPr>
          <w:sz w:val="22"/>
          <w:szCs w:val="22"/>
        </w:rPr>
        <w:t xml:space="preserve">activities </w:t>
      </w:r>
      <w:r>
        <w:rPr>
          <w:sz w:val="22"/>
          <w:szCs w:val="22"/>
        </w:rPr>
        <w:t xml:space="preserve">are </w:t>
      </w:r>
      <w:r w:rsidR="009516F4">
        <w:rPr>
          <w:sz w:val="22"/>
          <w:szCs w:val="22"/>
        </w:rPr>
        <w:t>reported below.</w:t>
      </w:r>
    </w:p>
    <w:p w14:paraId="0A11B878" w14:textId="77777777" w:rsidR="00EC2E96" w:rsidRPr="00BB7497" w:rsidRDefault="00EC2E96">
      <w:pPr>
        <w:pStyle w:val="BodyTextIndent"/>
        <w:rPr>
          <w:sz w:val="22"/>
          <w:szCs w:val="22"/>
        </w:rPr>
      </w:pPr>
    </w:p>
    <w:p w14:paraId="4CAF9EB0" w14:textId="60BB0CC1" w:rsidR="00781B6A" w:rsidRPr="00BB7497" w:rsidRDefault="00781B6A" w:rsidP="00A73779">
      <w:pPr>
        <w:pStyle w:val="BodyTextIndent"/>
        <w:jc w:val="left"/>
        <w:rPr>
          <w:b/>
          <w:bCs/>
          <w:i/>
          <w:iCs/>
          <w:sz w:val="22"/>
          <w:szCs w:val="22"/>
        </w:rPr>
      </w:pPr>
      <w:r w:rsidRPr="00BB7497">
        <w:rPr>
          <w:b/>
          <w:bCs/>
          <w:i/>
          <w:iCs/>
          <w:sz w:val="22"/>
          <w:szCs w:val="22"/>
        </w:rPr>
        <w:t>II</w:t>
      </w:r>
      <w:r w:rsidR="00E13341">
        <w:rPr>
          <w:b/>
          <w:bCs/>
          <w:i/>
          <w:iCs/>
          <w:sz w:val="22"/>
          <w:szCs w:val="22"/>
        </w:rPr>
        <w:t>I</w:t>
      </w:r>
      <w:r w:rsidRPr="00BB7497">
        <w:rPr>
          <w:b/>
          <w:bCs/>
          <w:i/>
          <w:iCs/>
          <w:sz w:val="22"/>
          <w:szCs w:val="22"/>
        </w:rPr>
        <w:t xml:space="preserve">.A. </w:t>
      </w:r>
      <w:r w:rsidR="002E7EFD">
        <w:rPr>
          <w:b/>
          <w:bCs/>
          <w:i/>
          <w:iCs/>
          <w:sz w:val="22"/>
          <w:szCs w:val="22"/>
        </w:rPr>
        <w:t>Writing tasks</w:t>
      </w:r>
    </w:p>
    <w:p w14:paraId="1085E62B" w14:textId="49FE40EE" w:rsidR="009516F4" w:rsidRDefault="009516F4" w:rsidP="009516F4">
      <w:pPr>
        <w:pStyle w:val="BodyTextIndent"/>
        <w:rPr>
          <w:sz w:val="22"/>
          <w:szCs w:val="22"/>
        </w:rPr>
      </w:pPr>
      <w:r w:rsidRPr="006326C5">
        <w:rPr>
          <w:b/>
          <w:sz w:val="22"/>
          <w:szCs w:val="22"/>
        </w:rPr>
        <w:t>Technical Opinion Paper (TOP) on the Use of CFD for Nuclear Safety</w:t>
      </w:r>
      <w:r w:rsidRPr="009516F4">
        <w:rPr>
          <w:sz w:val="22"/>
          <w:szCs w:val="22"/>
        </w:rPr>
        <w:t xml:space="preserve"> </w:t>
      </w:r>
      <w:r w:rsidRPr="009516F4">
        <w:rPr>
          <w:sz w:val="22"/>
          <w:szCs w:val="22"/>
          <w:highlight w:val="green"/>
        </w:rPr>
        <w:t>[</w:t>
      </w:r>
      <w:r w:rsidR="007077A5">
        <w:rPr>
          <w:sz w:val="22"/>
          <w:szCs w:val="22"/>
          <w:highlight w:val="green"/>
        </w:rPr>
        <w:t>7</w:t>
      </w:r>
      <w:r w:rsidRPr="009516F4">
        <w:rPr>
          <w:sz w:val="22"/>
          <w:szCs w:val="22"/>
          <w:highlight w:val="green"/>
        </w:rPr>
        <w:t>]</w:t>
      </w:r>
      <w:r w:rsidRPr="009516F4">
        <w:rPr>
          <w:sz w:val="22"/>
          <w:szCs w:val="22"/>
        </w:rPr>
        <w:t>: CFD resolves a higher level of phenomenological detail</w:t>
      </w:r>
      <w:r w:rsidR="002D6D45">
        <w:rPr>
          <w:sz w:val="22"/>
          <w:szCs w:val="22"/>
        </w:rPr>
        <w:t>s</w:t>
      </w:r>
      <w:r w:rsidRPr="009516F4">
        <w:rPr>
          <w:sz w:val="22"/>
          <w:szCs w:val="22"/>
        </w:rPr>
        <w:t xml:space="preserve"> compared to the established system T/H codes</w:t>
      </w:r>
      <w:r w:rsidR="002D6D45">
        <w:rPr>
          <w:sz w:val="22"/>
          <w:szCs w:val="22"/>
        </w:rPr>
        <w:t xml:space="preserve"> that are used for reactor safety assessment as </w:t>
      </w:r>
      <w:r w:rsidR="002D6D45" w:rsidRPr="009516F4">
        <w:rPr>
          <w:sz w:val="22"/>
          <w:szCs w:val="22"/>
        </w:rPr>
        <w:t>system-scale tools</w:t>
      </w:r>
      <w:r w:rsidRPr="009516F4">
        <w:rPr>
          <w:sz w:val="22"/>
          <w:szCs w:val="22"/>
        </w:rPr>
        <w:t xml:space="preserve">. While </w:t>
      </w:r>
      <w:r w:rsidR="002D6D45">
        <w:rPr>
          <w:sz w:val="22"/>
          <w:szCs w:val="22"/>
        </w:rPr>
        <w:t>the CFD</w:t>
      </w:r>
      <w:r w:rsidR="002D6D45" w:rsidRPr="009516F4">
        <w:rPr>
          <w:sz w:val="22"/>
          <w:szCs w:val="22"/>
        </w:rPr>
        <w:t xml:space="preserve"> </w:t>
      </w:r>
      <w:r w:rsidRPr="009516F4">
        <w:rPr>
          <w:sz w:val="22"/>
          <w:szCs w:val="22"/>
        </w:rPr>
        <w:t xml:space="preserve">appears promising, it </w:t>
      </w:r>
      <w:r w:rsidR="000C62D5">
        <w:rPr>
          <w:sz w:val="22"/>
          <w:szCs w:val="22"/>
        </w:rPr>
        <w:t>is still not mature</w:t>
      </w:r>
      <w:r w:rsidR="007108D1">
        <w:rPr>
          <w:sz w:val="22"/>
          <w:szCs w:val="22"/>
        </w:rPr>
        <w:t>,</w:t>
      </w:r>
      <w:r w:rsidR="000C62D5">
        <w:rPr>
          <w:sz w:val="22"/>
          <w:szCs w:val="22"/>
        </w:rPr>
        <w:t xml:space="preserve"> especially in handling gas-liquid two-phase flows. CFD is thus</w:t>
      </w:r>
      <w:r w:rsidR="000C62D5" w:rsidRPr="009516F4">
        <w:rPr>
          <w:sz w:val="22"/>
          <w:szCs w:val="22"/>
        </w:rPr>
        <w:t xml:space="preserve"> limited to a relatively small number of applications</w:t>
      </w:r>
      <w:r w:rsidR="000C62D5">
        <w:rPr>
          <w:sz w:val="22"/>
          <w:szCs w:val="22"/>
        </w:rPr>
        <w:t>, which</w:t>
      </w:r>
      <w:r w:rsidRPr="009516F4">
        <w:rPr>
          <w:sz w:val="22"/>
          <w:szCs w:val="22"/>
        </w:rPr>
        <w:t xml:space="preserve"> raises questions about the evaluation and integration of CFD-based safety studies</w:t>
      </w:r>
      <w:r w:rsidR="000C62D5">
        <w:rPr>
          <w:sz w:val="22"/>
          <w:szCs w:val="22"/>
        </w:rPr>
        <w:t xml:space="preserve">. </w:t>
      </w:r>
      <w:r w:rsidRPr="009516F4">
        <w:rPr>
          <w:sz w:val="22"/>
          <w:szCs w:val="22"/>
        </w:rPr>
        <w:t xml:space="preserve">The TOP aims to provide a clear picture of the current use and capabilities of the CFD </w:t>
      </w:r>
      <w:r w:rsidR="000C62D5">
        <w:rPr>
          <w:sz w:val="22"/>
          <w:szCs w:val="22"/>
        </w:rPr>
        <w:t>with</w:t>
      </w:r>
      <w:r w:rsidRPr="009516F4">
        <w:rPr>
          <w:sz w:val="22"/>
          <w:szCs w:val="22"/>
        </w:rPr>
        <w:t xml:space="preserve"> perspectives on main challenges hindering a larger use of CFD in NRS studies. </w:t>
      </w:r>
    </w:p>
    <w:p w14:paraId="36BE3FA7" w14:textId="2967522E" w:rsidR="006326C5" w:rsidRPr="006326C5" w:rsidRDefault="00A34D99" w:rsidP="006326C5">
      <w:pPr>
        <w:pStyle w:val="BodyTextIndent"/>
        <w:rPr>
          <w:sz w:val="22"/>
          <w:szCs w:val="22"/>
        </w:rPr>
      </w:pPr>
      <w:r>
        <w:rPr>
          <w:sz w:val="22"/>
          <w:szCs w:val="22"/>
        </w:rPr>
        <w:t xml:space="preserve">The </w:t>
      </w:r>
      <w:r w:rsidR="006326C5" w:rsidRPr="006326C5">
        <w:rPr>
          <w:sz w:val="22"/>
          <w:szCs w:val="22"/>
        </w:rPr>
        <w:t xml:space="preserve">challenges </w:t>
      </w:r>
      <w:r>
        <w:rPr>
          <w:sz w:val="22"/>
          <w:szCs w:val="22"/>
        </w:rPr>
        <w:t xml:space="preserve">that </w:t>
      </w:r>
      <w:r w:rsidR="006326C5" w:rsidRPr="006326C5">
        <w:rPr>
          <w:sz w:val="22"/>
          <w:szCs w:val="22"/>
        </w:rPr>
        <w:t>have been identified to further extend the CFD use in NRS</w:t>
      </w:r>
      <w:r>
        <w:rPr>
          <w:sz w:val="22"/>
          <w:szCs w:val="22"/>
        </w:rPr>
        <w:t xml:space="preserve"> </w:t>
      </w:r>
      <w:r w:rsidRPr="006326C5">
        <w:rPr>
          <w:sz w:val="22"/>
          <w:szCs w:val="22"/>
        </w:rPr>
        <w:t>studies</w:t>
      </w:r>
      <w:r>
        <w:rPr>
          <w:sz w:val="22"/>
          <w:szCs w:val="22"/>
        </w:rPr>
        <w:t xml:space="preserve"> may</w:t>
      </w:r>
      <w:r w:rsidR="006326C5" w:rsidRPr="006326C5">
        <w:rPr>
          <w:sz w:val="22"/>
          <w:szCs w:val="22"/>
        </w:rPr>
        <w:t xml:space="preserve"> </w:t>
      </w:r>
      <w:r w:rsidR="007108D1">
        <w:rPr>
          <w:sz w:val="22"/>
          <w:szCs w:val="22"/>
        </w:rPr>
        <w:t>arise from</w:t>
      </w:r>
      <w:r w:rsidR="007108D1" w:rsidRPr="006326C5">
        <w:rPr>
          <w:sz w:val="22"/>
          <w:szCs w:val="22"/>
        </w:rPr>
        <w:t xml:space="preserve"> </w:t>
      </w:r>
      <w:r w:rsidR="007108D1">
        <w:rPr>
          <w:sz w:val="22"/>
          <w:szCs w:val="22"/>
        </w:rPr>
        <w:t>gaps</w:t>
      </w:r>
      <w:r>
        <w:rPr>
          <w:sz w:val="22"/>
          <w:szCs w:val="22"/>
        </w:rPr>
        <w:t xml:space="preserve"> in the</w:t>
      </w:r>
      <w:r w:rsidR="006326C5" w:rsidRPr="006326C5">
        <w:rPr>
          <w:sz w:val="22"/>
          <w:szCs w:val="22"/>
        </w:rPr>
        <w:t xml:space="preserve"> established methodologies (e.g., Uncertainty Quantification</w:t>
      </w:r>
      <w:r>
        <w:rPr>
          <w:sz w:val="22"/>
          <w:szCs w:val="22"/>
        </w:rPr>
        <w:t xml:space="preserve"> (UQ)</w:t>
      </w:r>
      <w:r w:rsidR="006326C5" w:rsidRPr="006326C5">
        <w:rPr>
          <w:sz w:val="22"/>
          <w:szCs w:val="22"/>
        </w:rPr>
        <w:t xml:space="preserve">), the availability and access to an experimental database for code development and validation or the insufficient knowledge of CFD capabilities and/or limits outside of the experts’ community. </w:t>
      </w:r>
      <w:r>
        <w:rPr>
          <w:sz w:val="22"/>
          <w:szCs w:val="22"/>
        </w:rPr>
        <w:t>A</w:t>
      </w:r>
      <w:r w:rsidR="006326C5" w:rsidRPr="006326C5">
        <w:rPr>
          <w:sz w:val="22"/>
          <w:szCs w:val="22"/>
        </w:rPr>
        <w:t>nalys</w:t>
      </w:r>
      <w:r>
        <w:rPr>
          <w:sz w:val="22"/>
          <w:szCs w:val="22"/>
        </w:rPr>
        <w:t>e</w:t>
      </w:r>
      <w:r w:rsidR="006326C5" w:rsidRPr="006326C5">
        <w:rPr>
          <w:sz w:val="22"/>
          <w:szCs w:val="22"/>
        </w:rPr>
        <w:t>s of possible ways to overcome those challenges identified potential collaborative activities and led to recommendation</w:t>
      </w:r>
      <w:r w:rsidR="00EC2993">
        <w:rPr>
          <w:sz w:val="22"/>
          <w:szCs w:val="22"/>
        </w:rPr>
        <w:t>s</w:t>
      </w:r>
      <w:r w:rsidR="006326C5" w:rsidRPr="006326C5">
        <w:rPr>
          <w:sz w:val="22"/>
          <w:szCs w:val="22"/>
        </w:rPr>
        <w:t xml:space="preserve"> of </w:t>
      </w:r>
      <w:r w:rsidR="006326C5" w:rsidRPr="006326C5">
        <w:rPr>
          <w:sz w:val="22"/>
          <w:szCs w:val="22"/>
        </w:rPr>
        <w:t>following priority activities for an extended use of CFD in NRS studies</w:t>
      </w:r>
      <w:r w:rsidR="006326C5">
        <w:rPr>
          <w:sz w:val="22"/>
          <w:szCs w:val="22"/>
        </w:rPr>
        <w:t xml:space="preserve"> that will be </w:t>
      </w:r>
      <w:r w:rsidR="00EC2993">
        <w:rPr>
          <w:sz w:val="22"/>
          <w:szCs w:val="22"/>
        </w:rPr>
        <w:t xml:space="preserve">pursued </w:t>
      </w:r>
      <w:r w:rsidR="006326C5">
        <w:rPr>
          <w:sz w:val="22"/>
          <w:szCs w:val="22"/>
        </w:rPr>
        <w:t>in</w:t>
      </w:r>
      <w:r w:rsidR="00073347" w:rsidRPr="00073347">
        <w:rPr>
          <w:sz w:val="22"/>
          <w:szCs w:val="22"/>
        </w:rPr>
        <w:t xml:space="preserve"> </w:t>
      </w:r>
      <w:r w:rsidR="00073347">
        <w:rPr>
          <w:sz w:val="22"/>
          <w:szCs w:val="22"/>
        </w:rPr>
        <w:t>the CFD-TG</w:t>
      </w:r>
      <w:r w:rsidR="006326C5">
        <w:rPr>
          <w:sz w:val="22"/>
          <w:szCs w:val="22"/>
        </w:rPr>
        <w:t xml:space="preserve"> ongoing activities</w:t>
      </w:r>
      <w:r w:rsidR="006326C5" w:rsidRPr="006326C5">
        <w:rPr>
          <w:sz w:val="22"/>
          <w:szCs w:val="22"/>
        </w:rPr>
        <w:t>:</w:t>
      </w:r>
    </w:p>
    <w:p w14:paraId="3B9CAA42" w14:textId="7D0B00D7" w:rsidR="006326C5" w:rsidRPr="006326C5" w:rsidRDefault="006326C5" w:rsidP="005F32EF">
      <w:pPr>
        <w:pStyle w:val="BodyTextIndent"/>
        <w:numPr>
          <w:ilvl w:val="0"/>
          <w:numId w:val="4"/>
        </w:numPr>
        <w:tabs>
          <w:tab w:val="left" w:pos="990"/>
        </w:tabs>
        <w:ind w:left="567"/>
        <w:rPr>
          <w:sz w:val="22"/>
          <w:szCs w:val="22"/>
        </w:rPr>
      </w:pPr>
      <w:r w:rsidRPr="006326C5">
        <w:rPr>
          <w:sz w:val="22"/>
          <w:szCs w:val="22"/>
        </w:rPr>
        <w:t>Build a library of links for CFD-for-NRS-related data, including links to validation databases and to fundamental documents (e.g., BPG, State-of-the-Art Reports</w:t>
      </w:r>
      <w:r w:rsidR="00073347">
        <w:rPr>
          <w:sz w:val="22"/>
          <w:szCs w:val="22"/>
        </w:rPr>
        <w:t xml:space="preserve"> (SOARs)</w:t>
      </w:r>
      <w:r w:rsidRPr="006326C5">
        <w:rPr>
          <w:sz w:val="22"/>
          <w:szCs w:val="22"/>
        </w:rPr>
        <w:t>).</w:t>
      </w:r>
    </w:p>
    <w:p w14:paraId="043C6F7C" w14:textId="513771FA" w:rsidR="006326C5" w:rsidRPr="006326C5" w:rsidRDefault="006326C5" w:rsidP="005F32EF">
      <w:pPr>
        <w:pStyle w:val="BodyTextIndent"/>
        <w:numPr>
          <w:ilvl w:val="0"/>
          <w:numId w:val="4"/>
        </w:numPr>
        <w:tabs>
          <w:tab w:val="left" w:pos="990"/>
        </w:tabs>
        <w:ind w:left="567"/>
        <w:rPr>
          <w:sz w:val="22"/>
          <w:szCs w:val="22"/>
        </w:rPr>
      </w:pPr>
      <w:r w:rsidRPr="006326C5">
        <w:rPr>
          <w:sz w:val="22"/>
          <w:szCs w:val="22"/>
        </w:rPr>
        <w:t>Enhance reliability and credibility through blind CFD-model benchmarking, extended towards application-oriented comparative studies.</w:t>
      </w:r>
    </w:p>
    <w:p w14:paraId="1D8DA2CB" w14:textId="780819A1" w:rsidR="006326C5" w:rsidRPr="006326C5" w:rsidRDefault="006326C5" w:rsidP="005F32EF">
      <w:pPr>
        <w:pStyle w:val="BodyTextIndent"/>
        <w:numPr>
          <w:ilvl w:val="0"/>
          <w:numId w:val="4"/>
        </w:numPr>
        <w:tabs>
          <w:tab w:val="left" w:pos="990"/>
        </w:tabs>
        <w:ind w:left="567"/>
        <w:rPr>
          <w:sz w:val="22"/>
          <w:szCs w:val="22"/>
        </w:rPr>
      </w:pPr>
      <w:r w:rsidRPr="006326C5">
        <w:rPr>
          <w:sz w:val="22"/>
          <w:szCs w:val="22"/>
        </w:rPr>
        <w:t>Update and promote existing reference documents (like BPG, synthetic reports on CFD activities…).</w:t>
      </w:r>
    </w:p>
    <w:p w14:paraId="5DAB08CE" w14:textId="2E11259D" w:rsidR="006326C5" w:rsidRPr="006326C5" w:rsidRDefault="006326C5" w:rsidP="005F32EF">
      <w:pPr>
        <w:pStyle w:val="BodyTextIndent"/>
        <w:numPr>
          <w:ilvl w:val="0"/>
          <w:numId w:val="4"/>
        </w:numPr>
        <w:tabs>
          <w:tab w:val="left" w:pos="990"/>
        </w:tabs>
        <w:ind w:left="567"/>
        <w:rPr>
          <w:sz w:val="22"/>
          <w:szCs w:val="22"/>
        </w:rPr>
      </w:pPr>
      <w:r w:rsidRPr="006326C5">
        <w:rPr>
          <w:sz w:val="22"/>
          <w:szCs w:val="22"/>
        </w:rPr>
        <w:t xml:space="preserve">Support future work on the development of UQ methodologies for CFD. Collect and </w:t>
      </w:r>
      <w:r w:rsidR="00684383" w:rsidRPr="006326C5">
        <w:rPr>
          <w:sz w:val="22"/>
          <w:szCs w:val="22"/>
        </w:rPr>
        <w:t>summarize</w:t>
      </w:r>
      <w:r w:rsidRPr="006326C5">
        <w:rPr>
          <w:sz w:val="22"/>
          <w:szCs w:val="22"/>
        </w:rPr>
        <w:t xml:space="preserve"> existing works and </w:t>
      </w:r>
      <w:r w:rsidR="00684383" w:rsidRPr="006326C5">
        <w:rPr>
          <w:sz w:val="22"/>
          <w:szCs w:val="22"/>
        </w:rPr>
        <w:t>organize</w:t>
      </w:r>
      <w:r w:rsidRPr="006326C5">
        <w:rPr>
          <w:sz w:val="22"/>
          <w:szCs w:val="22"/>
        </w:rPr>
        <w:t xml:space="preserve"> exercise of application.</w:t>
      </w:r>
    </w:p>
    <w:p w14:paraId="1B7E7E05" w14:textId="5214A05A" w:rsidR="006326C5" w:rsidRDefault="006326C5" w:rsidP="005F32EF">
      <w:pPr>
        <w:pStyle w:val="BodyTextIndent"/>
        <w:numPr>
          <w:ilvl w:val="0"/>
          <w:numId w:val="4"/>
        </w:numPr>
        <w:tabs>
          <w:tab w:val="left" w:pos="990"/>
        </w:tabs>
        <w:ind w:left="567"/>
        <w:rPr>
          <w:sz w:val="22"/>
          <w:szCs w:val="22"/>
        </w:rPr>
      </w:pPr>
      <w:r w:rsidRPr="006326C5">
        <w:rPr>
          <w:sz w:val="22"/>
          <w:szCs w:val="22"/>
        </w:rPr>
        <w:t xml:space="preserve">Provide help to newcomers to CFD in </w:t>
      </w:r>
      <w:r w:rsidR="0090692D">
        <w:rPr>
          <w:sz w:val="22"/>
          <w:szCs w:val="22"/>
        </w:rPr>
        <w:t>a</w:t>
      </w:r>
      <w:r w:rsidR="0090692D" w:rsidRPr="006326C5">
        <w:rPr>
          <w:sz w:val="22"/>
          <w:szCs w:val="22"/>
        </w:rPr>
        <w:t xml:space="preserve"> </w:t>
      </w:r>
      <w:r w:rsidRPr="006326C5">
        <w:rPr>
          <w:sz w:val="22"/>
          <w:szCs w:val="22"/>
        </w:rPr>
        <w:t>form of a few short, simple documents like “CFD for deciders”, “CFD for system code users”, “System codes for CFD users”</w:t>
      </w:r>
      <w:r>
        <w:rPr>
          <w:sz w:val="22"/>
          <w:szCs w:val="22"/>
        </w:rPr>
        <w:t xml:space="preserve">. </w:t>
      </w:r>
    </w:p>
    <w:p w14:paraId="4AABE439" w14:textId="77777777" w:rsidR="00684383" w:rsidRPr="009516F4" w:rsidRDefault="00684383" w:rsidP="00684383">
      <w:pPr>
        <w:pStyle w:val="BodyTextIndent"/>
        <w:tabs>
          <w:tab w:val="left" w:pos="990"/>
        </w:tabs>
        <w:ind w:left="720" w:firstLine="0"/>
        <w:rPr>
          <w:sz w:val="22"/>
          <w:szCs w:val="22"/>
        </w:rPr>
      </w:pPr>
    </w:p>
    <w:p w14:paraId="32786489" w14:textId="7A00C87B" w:rsidR="002E7EFD" w:rsidRDefault="009516F4" w:rsidP="009516F4">
      <w:pPr>
        <w:pStyle w:val="BodyTextIndent"/>
        <w:rPr>
          <w:sz w:val="22"/>
          <w:szCs w:val="22"/>
        </w:rPr>
      </w:pPr>
      <w:r w:rsidRPr="006326C5">
        <w:rPr>
          <w:b/>
          <w:sz w:val="22"/>
          <w:szCs w:val="22"/>
        </w:rPr>
        <w:t>Best Practice Guidelines (BPGs)</w:t>
      </w:r>
      <w:r w:rsidRPr="009516F4">
        <w:rPr>
          <w:sz w:val="22"/>
          <w:szCs w:val="22"/>
        </w:rPr>
        <w:t xml:space="preserve"> </w:t>
      </w:r>
      <w:r w:rsidRPr="00684383">
        <w:rPr>
          <w:b/>
          <w:sz w:val="22"/>
          <w:szCs w:val="22"/>
        </w:rPr>
        <w:t xml:space="preserve">for the </w:t>
      </w:r>
      <w:r w:rsidR="00684383" w:rsidRPr="00684383">
        <w:rPr>
          <w:b/>
          <w:sz w:val="22"/>
          <w:szCs w:val="22"/>
        </w:rPr>
        <w:t>u</w:t>
      </w:r>
      <w:r w:rsidRPr="00684383">
        <w:rPr>
          <w:b/>
          <w:sz w:val="22"/>
          <w:szCs w:val="22"/>
        </w:rPr>
        <w:t xml:space="preserve">se of CFD in Nuclear Reactor Safety </w:t>
      </w:r>
      <w:r w:rsidR="00684383">
        <w:rPr>
          <w:b/>
          <w:sz w:val="22"/>
          <w:szCs w:val="22"/>
        </w:rPr>
        <w:t xml:space="preserve">(NRS) </w:t>
      </w:r>
      <w:r w:rsidRPr="00684383">
        <w:rPr>
          <w:b/>
          <w:sz w:val="22"/>
          <w:szCs w:val="22"/>
        </w:rPr>
        <w:t>Applications</w:t>
      </w:r>
      <w:r w:rsidR="00684383">
        <w:rPr>
          <w:b/>
          <w:sz w:val="22"/>
          <w:szCs w:val="22"/>
        </w:rPr>
        <w:t>, r</w:t>
      </w:r>
      <w:r w:rsidRPr="00684383">
        <w:rPr>
          <w:b/>
          <w:sz w:val="22"/>
          <w:szCs w:val="22"/>
        </w:rPr>
        <w:t>evision</w:t>
      </w:r>
      <w:r w:rsidRPr="009516F4">
        <w:rPr>
          <w:sz w:val="22"/>
          <w:szCs w:val="22"/>
        </w:rPr>
        <w:t xml:space="preserve"> </w:t>
      </w:r>
      <w:r w:rsidRPr="009516F4">
        <w:rPr>
          <w:sz w:val="22"/>
          <w:szCs w:val="22"/>
          <w:highlight w:val="green"/>
        </w:rPr>
        <w:t>[</w:t>
      </w:r>
      <w:r w:rsidR="007077A5">
        <w:rPr>
          <w:sz w:val="22"/>
          <w:szCs w:val="22"/>
          <w:highlight w:val="green"/>
        </w:rPr>
        <w:t>9</w:t>
      </w:r>
      <w:r w:rsidRPr="009516F4">
        <w:rPr>
          <w:sz w:val="22"/>
          <w:szCs w:val="22"/>
          <w:highlight w:val="green"/>
        </w:rPr>
        <w:t>]</w:t>
      </w:r>
      <w:r w:rsidR="00EC2993">
        <w:rPr>
          <w:sz w:val="22"/>
          <w:szCs w:val="22"/>
        </w:rPr>
        <w:t xml:space="preserve">: </w:t>
      </w:r>
      <w:r w:rsidRPr="009516F4">
        <w:rPr>
          <w:sz w:val="22"/>
          <w:szCs w:val="22"/>
        </w:rPr>
        <w:t xml:space="preserve">This is the second revision of the previous 2014 revision </w:t>
      </w:r>
      <w:r w:rsidRPr="009516F4">
        <w:rPr>
          <w:sz w:val="22"/>
          <w:szCs w:val="22"/>
          <w:highlight w:val="green"/>
        </w:rPr>
        <w:t>[</w:t>
      </w:r>
      <w:r w:rsidR="007077A5">
        <w:rPr>
          <w:sz w:val="22"/>
          <w:szCs w:val="22"/>
          <w:highlight w:val="green"/>
        </w:rPr>
        <w:t>10</w:t>
      </w:r>
      <w:r w:rsidRPr="009516F4">
        <w:rPr>
          <w:sz w:val="22"/>
          <w:szCs w:val="22"/>
          <w:highlight w:val="green"/>
        </w:rPr>
        <w:t>]</w:t>
      </w:r>
      <w:r w:rsidRPr="009516F4">
        <w:rPr>
          <w:sz w:val="22"/>
          <w:szCs w:val="22"/>
        </w:rPr>
        <w:t xml:space="preserve">. </w:t>
      </w:r>
      <w:r w:rsidR="00684383">
        <w:rPr>
          <w:sz w:val="22"/>
          <w:szCs w:val="22"/>
        </w:rPr>
        <w:t>The</w:t>
      </w:r>
      <w:r w:rsidRPr="009516F4">
        <w:rPr>
          <w:sz w:val="22"/>
          <w:szCs w:val="22"/>
        </w:rPr>
        <w:t xml:space="preserve"> report gives an overview of the current status of the </w:t>
      </w:r>
      <w:r w:rsidR="0090692D" w:rsidRPr="009516F4">
        <w:rPr>
          <w:sz w:val="22"/>
          <w:szCs w:val="22"/>
        </w:rPr>
        <w:t xml:space="preserve">CFD </w:t>
      </w:r>
      <w:r w:rsidRPr="009516F4">
        <w:rPr>
          <w:sz w:val="22"/>
          <w:szCs w:val="22"/>
        </w:rPr>
        <w:t>applicability and addresses future issues (e.g., parallelism and coupling with system codes). Some parts of the report should be useful for certain discussions on SMRs, such as those concerning containment wall condensation, natural convection, water hammer and liquid metal systems other than verification and validation (V&amp;V) and phenomena identification and ranking table (PIRT) processes.</w:t>
      </w:r>
    </w:p>
    <w:p w14:paraId="35210EAB" w14:textId="77E5F990" w:rsidR="006326C5" w:rsidRPr="006326C5" w:rsidRDefault="006326C5" w:rsidP="006326C5">
      <w:pPr>
        <w:pStyle w:val="BodyTextIndent"/>
        <w:rPr>
          <w:sz w:val="22"/>
          <w:szCs w:val="22"/>
        </w:rPr>
      </w:pPr>
      <w:r w:rsidRPr="006326C5">
        <w:rPr>
          <w:sz w:val="22"/>
          <w:szCs w:val="22"/>
        </w:rPr>
        <w:t xml:space="preserve">This </w:t>
      </w:r>
      <w:r w:rsidR="006C19BF">
        <w:rPr>
          <w:sz w:val="22"/>
          <w:szCs w:val="22"/>
        </w:rPr>
        <w:t>2nd revision of BPG</w:t>
      </w:r>
      <w:r w:rsidRPr="006326C5">
        <w:rPr>
          <w:sz w:val="22"/>
          <w:szCs w:val="22"/>
        </w:rPr>
        <w:t xml:space="preserve"> serve</w:t>
      </w:r>
      <w:r w:rsidR="006C19BF">
        <w:rPr>
          <w:sz w:val="22"/>
          <w:szCs w:val="22"/>
        </w:rPr>
        <w:t>s</w:t>
      </w:r>
      <w:r w:rsidRPr="006326C5">
        <w:rPr>
          <w:sz w:val="22"/>
          <w:szCs w:val="22"/>
        </w:rPr>
        <w:t xml:space="preserve"> as a basis for several issues regarding the use of CFD for NRS applications. </w:t>
      </w:r>
      <w:r w:rsidR="003234C0">
        <w:rPr>
          <w:sz w:val="22"/>
          <w:szCs w:val="22"/>
        </w:rPr>
        <w:t>I</w:t>
      </w:r>
      <w:r w:rsidRPr="006326C5">
        <w:rPr>
          <w:sz w:val="22"/>
          <w:szCs w:val="22"/>
        </w:rPr>
        <w:t>t can be used</w:t>
      </w:r>
      <w:r w:rsidR="003234C0">
        <w:rPr>
          <w:sz w:val="22"/>
          <w:szCs w:val="22"/>
        </w:rPr>
        <w:t>, first of all,</w:t>
      </w:r>
      <w:r w:rsidRPr="006326C5">
        <w:rPr>
          <w:sz w:val="22"/>
          <w:szCs w:val="22"/>
        </w:rPr>
        <w:t xml:space="preserve"> </w:t>
      </w:r>
      <w:r w:rsidR="003234C0" w:rsidRPr="006326C5">
        <w:rPr>
          <w:sz w:val="22"/>
          <w:szCs w:val="22"/>
        </w:rPr>
        <w:t>by specialists</w:t>
      </w:r>
      <w:r w:rsidR="003234C0">
        <w:rPr>
          <w:sz w:val="22"/>
          <w:szCs w:val="22"/>
        </w:rPr>
        <w:t xml:space="preserve"> </w:t>
      </w:r>
      <w:r w:rsidRPr="006326C5">
        <w:rPr>
          <w:sz w:val="22"/>
          <w:szCs w:val="22"/>
        </w:rPr>
        <w:t>to build a rigorous methodology for a CFD-based study</w:t>
      </w:r>
      <w:r w:rsidR="003234C0">
        <w:rPr>
          <w:sz w:val="22"/>
          <w:szCs w:val="22"/>
        </w:rPr>
        <w:t>, and can</w:t>
      </w:r>
      <w:r w:rsidRPr="006326C5">
        <w:rPr>
          <w:sz w:val="22"/>
          <w:szCs w:val="22"/>
        </w:rPr>
        <w:t xml:space="preserve"> also be used as a guide for the assessment of the CFD</w:t>
      </w:r>
      <w:r w:rsidR="003234C0">
        <w:rPr>
          <w:sz w:val="22"/>
          <w:szCs w:val="22"/>
        </w:rPr>
        <w:t>-</w:t>
      </w:r>
      <w:r w:rsidRPr="006326C5">
        <w:rPr>
          <w:sz w:val="22"/>
          <w:szCs w:val="22"/>
        </w:rPr>
        <w:t xml:space="preserve">based NRS study. </w:t>
      </w:r>
    </w:p>
    <w:p w14:paraId="73436747" w14:textId="4CA40AB7" w:rsidR="003234C0" w:rsidRPr="005F32EF" w:rsidRDefault="003234C0" w:rsidP="003234C0">
      <w:pPr>
        <w:pStyle w:val="BodyTextIndent"/>
        <w:rPr>
          <w:sz w:val="22"/>
          <w:szCs w:val="22"/>
        </w:rPr>
      </w:pPr>
      <w:r w:rsidRPr="005F32EF">
        <w:rPr>
          <w:sz w:val="22"/>
          <w:szCs w:val="22"/>
        </w:rPr>
        <w:t>At the beginning of this BPG, a “Quick Guide Introduction” is provided as the most helpful to CFD beginners, by giving them the essential guidelines without having to search these in the entire BPG document.</w:t>
      </w:r>
    </w:p>
    <w:p w14:paraId="3F8B151B" w14:textId="2CF8586C" w:rsidR="006326C5" w:rsidRPr="006326C5" w:rsidRDefault="006326C5" w:rsidP="006326C5">
      <w:pPr>
        <w:pStyle w:val="BodyTextIndent"/>
        <w:rPr>
          <w:sz w:val="22"/>
          <w:szCs w:val="22"/>
        </w:rPr>
      </w:pPr>
      <w:r w:rsidRPr="006326C5">
        <w:rPr>
          <w:sz w:val="22"/>
          <w:szCs w:val="22"/>
        </w:rPr>
        <w:t>As reflected in the document, producing a CFD analysis of a NRS issue implies much more than just generating input data and taking note of calculation results. The main recommendation is to</w:t>
      </w:r>
      <w:r w:rsidR="00EB5D22" w:rsidRPr="00EB5D22">
        <w:rPr>
          <w:sz w:val="22"/>
          <w:szCs w:val="22"/>
        </w:rPr>
        <w:t xml:space="preserve"> </w:t>
      </w:r>
      <w:r w:rsidR="00EB5D22" w:rsidRPr="006326C5">
        <w:rPr>
          <w:sz w:val="22"/>
          <w:szCs w:val="22"/>
        </w:rPr>
        <w:t>clearly</w:t>
      </w:r>
      <w:r w:rsidRPr="006326C5">
        <w:rPr>
          <w:sz w:val="22"/>
          <w:szCs w:val="22"/>
        </w:rPr>
        <w:t xml:space="preserve"> include documentation at </w:t>
      </w:r>
      <w:r w:rsidR="00EB5D22">
        <w:rPr>
          <w:sz w:val="22"/>
          <w:szCs w:val="22"/>
        </w:rPr>
        <w:t xml:space="preserve">each of </w:t>
      </w:r>
      <w:r w:rsidRPr="006326C5">
        <w:rPr>
          <w:sz w:val="22"/>
          <w:szCs w:val="22"/>
        </w:rPr>
        <w:t xml:space="preserve">all the steps in the </w:t>
      </w:r>
      <w:r w:rsidRPr="006326C5">
        <w:rPr>
          <w:sz w:val="22"/>
          <w:szCs w:val="22"/>
        </w:rPr>
        <w:lastRenderedPageBreak/>
        <w:t xml:space="preserve">corresponding NRS study. Trusting the </w:t>
      </w:r>
      <w:r w:rsidR="006D2CFC" w:rsidRPr="006326C5">
        <w:rPr>
          <w:sz w:val="22"/>
          <w:szCs w:val="22"/>
        </w:rPr>
        <w:t xml:space="preserve">CFD simulation </w:t>
      </w:r>
      <w:r w:rsidRPr="006326C5">
        <w:rPr>
          <w:sz w:val="22"/>
          <w:szCs w:val="22"/>
        </w:rPr>
        <w:t>result</w:t>
      </w:r>
      <w:r w:rsidR="006D2CFC">
        <w:rPr>
          <w:sz w:val="22"/>
          <w:szCs w:val="22"/>
        </w:rPr>
        <w:t>s</w:t>
      </w:r>
      <w:r w:rsidRPr="006326C5">
        <w:rPr>
          <w:sz w:val="22"/>
          <w:szCs w:val="22"/>
        </w:rPr>
        <w:t xml:space="preserve"> implies several considerations must be addressed. Moreover, even though the equations solved come close to describing the elementary physics of fluid flows (at least</w:t>
      </w:r>
      <w:r w:rsidR="006D2CFC" w:rsidRPr="006D2CFC">
        <w:rPr>
          <w:sz w:val="22"/>
          <w:szCs w:val="22"/>
        </w:rPr>
        <w:t xml:space="preserve"> closer</w:t>
      </w:r>
      <w:r w:rsidRPr="006326C5">
        <w:rPr>
          <w:sz w:val="22"/>
          <w:szCs w:val="22"/>
        </w:rPr>
        <w:t xml:space="preserve"> than in more global approaches), a set of models </w:t>
      </w:r>
      <w:r w:rsidR="006D2CFC">
        <w:rPr>
          <w:sz w:val="22"/>
          <w:szCs w:val="22"/>
        </w:rPr>
        <w:t>is</w:t>
      </w:r>
      <w:r w:rsidR="006D2CFC" w:rsidRPr="006326C5">
        <w:rPr>
          <w:sz w:val="22"/>
          <w:szCs w:val="22"/>
        </w:rPr>
        <w:t xml:space="preserve"> </w:t>
      </w:r>
      <w:r w:rsidRPr="006326C5">
        <w:rPr>
          <w:sz w:val="22"/>
          <w:szCs w:val="22"/>
        </w:rPr>
        <w:t>still required</w:t>
      </w:r>
      <w:r w:rsidR="006D2CFC">
        <w:rPr>
          <w:sz w:val="22"/>
          <w:szCs w:val="22"/>
        </w:rPr>
        <w:t>,</w:t>
      </w:r>
      <w:r w:rsidRPr="006326C5">
        <w:rPr>
          <w:sz w:val="22"/>
          <w:szCs w:val="22"/>
        </w:rPr>
        <w:t xml:space="preserve"> in particular for turbulence for single phase flows</w:t>
      </w:r>
      <w:r w:rsidR="006D2CFC">
        <w:rPr>
          <w:sz w:val="22"/>
          <w:szCs w:val="22"/>
        </w:rPr>
        <w:t>,</w:t>
      </w:r>
      <w:r w:rsidR="006D2CFC" w:rsidRPr="006326C5">
        <w:rPr>
          <w:sz w:val="22"/>
          <w:szCs w:val="22"/>
        </w:rPr>
        <w:t xml:space="preserve"> </w:t>
      </w:r>
      <w:r w:rsidR="006D2CFC">
        <w:rPr>
          <w:sz w:val="22"/>
          <w:szCs w:val="22"/>
        </w:rPr>
        <w:t>which</w:t>
      </w:r>
      <w:r w:rsidR="006D2CFC" w:rsidRPr="006326C5">
        <w:rPr>
          <w:sz w:val="22"/>
          <w:szCs w:val="22"/>
        </w:rPr>
        <w:t xml:space="preserve"> </w:t>
      </w:r>
      <w:r w:rsidRPr="006326C5">
        <w:rPr>
          <w:sz w:val="22"/>
          <w:szCs w:val="22"/>
        </w:rPr>
        <w:t>need</w:t>
      </w:r>
      <w:r w:rsidR="006D2CFC">
        <w:rPr>
          <w:sz w:val="22"/>
          <w:szCs w:val="22"/>
        </w:rPr>
        <w:t>s</w:t>
      </w:r>
      <w:r w:rsidRPr="006326C5">
        <w:rPr>
          <w:sz w:val="22"/>
          <w:szCs w:val="22"/>
        </w:rPr>
        <w:t xml:space="preserve"> justifications and analysis of applicability. According to the relatively high computational cost of CFD numerical simulations in industrial configurations, some compromises may have to be considered regarding the accuracy of the solution by optimizing the mesh size</w:t>
      </w:r>
      <w:r w:rsidR="006D2CFC">
        <w:rPr>
          <w:sz w:val="22"/>
          <w:szCs w:val="22"/>
        </w:rPr>
        <w:t>;</w:t>
      </w:r>
      <w:r w:rsidRPr="006326C5">
        <w:rPr>
          <w:sz w:val="22"/>
          <w:szCs w:val="22"/>
        </w:rPr>
        <w:t xml:space="preserve"> for example</w:t>
      </w:r>
      <w:r w:rsidR="006D2CFC">
        <w:rPr>
          <w:sz w:val="22"/>
          <w:szCs w:val="22"/>
        </w:rPr>
        <w:t>,</w:t>
      </w:r>
      <w:r w:rsidRPr="006326C5">
        <w:rPr>
          <w:sz w:val="22"/>
          <w:szCs w:val="22"/>
        </w:rPr>
        <w:t xml:space="preserve"> this has to be compensated by a corresponding analysis of induced errors. For the specific point of </w:t>
      </w:r>
      <w:r w:rsidR="006D2CFC">
        <w:rPr>
          <w:sz w:val="22"/>
          <w:szCs w:val="22"/>
        </w:rPr>
        <w:t>UQs</w:t>
      </w:r>
      <w:r w:rsidRPr="006326C5">
        <w:rPr>
          <w:sz w:val="22"/>
          <w:szCs w:val="22"/>
        </w:rPr>
        <w:t xml:space="preserve">, the </w:t>
      </w:r>
      <w:r w:rsidR="006D2CFC">
        <w:rPr>
          <w:sz w:val="22"/>
          <w:szCs w:val="22"/>
        </w:rPr>
        <w:t>BPG</w:t>
      </w:r>
      <w:r w:rsidR="006D2CFC" w:rsidRPr="006326C5">
        <w:rPr>
          <w:sz w:val="22"/>
          <w:szCs w:val="22"/>
        </w:rPr>
        <w:t xml:space="preserve"> </w:t>
      </w:r>
      <w:r w:rsidRPr="006326C5">
        <w:rPr>
          <w:sz w:val="22"/>
          <w:szCs w:val="22"/>
        </w:rPr>
        <w:t>provides some generic discussions regarding the issue and references</w:t>
      </w:r>
      <w:r w:rsidR="00A72149">
        <w:rPr>
          <w:sz w:val="22"/>
          <w:szCs w:val="22"/>
        </w:rPr>
        <w:t>. C</w:t>
      </w:r>
      <w:r w:rsidRPr="006326C5">
        <w:rPr>
          <w:sz w:val="22"/>
          <w:szCs w:val="22"/>
        </w:rPr>
        <w:t>urrent state of the art of CFD studies</w:t>
      </w:r>
      <w:r w:rsidR="00A72149">
        <w:rPr>
          <w:sz w:val="22"/>
          <w:szCs w:val="22"/>
        </w:rPr>
        <w:t>, however,</w:t>
      </w:r>
      <w:r w:rsidRPr="006326C5">
        <w:rPr>
          <w:sz w:val="22"/>
          <w:szCs w:val="22"/>
        </w:rPr>
        <w:t xml:space="preserve"> reveal</w:t>
      </w:r>
      <w:r w:rsidR="00A72149">
        <w:rPr>
          <w:sz w:val="22"/>
          <w:szCs w:val="22"/>
        </w:rPr>
        <w:t>s</w:t>
      </w:r>
      <w:r w:rsidRPr="006326C5">
        <w:rPr>
          <w:sz w:val="22"/>
          <w:szCs w:val="22"/>
        </w:rPr>
        <w:t xml:space="preserve"> that methodologies mainly issued from system scale studies still require some adaptation </w:t>
      </w:r>
      <w:r w:rsidR="00A72149">
        <w:rPr>
          <w:sz w:val="22"/>
          <w:szCs w:val="22"/>
        </w:rPr>
        <w:t>when they</w:t>
      </w:r>
      <w:r w:rsidR="00A72149" w:rsidRPr="006326C5">
        <w:rPr>
          <w:sz w:val="22"/>
          <w:szCs w:val="22"/>
        </w:rPr>
        <w:t xml:space="preserve"> </w:t>
      </w:r>
      <w:r w:rsidR="00A72149">
        <w:rPr>
          <w:sz w:val="22"/>
          <w:szCs w:val="22"/>
        </w:rPr>
        <w:t>ar</w:t>
      </w:r>
      <w:r w:rsidRPr="006326C5">
        <w:rPr>
          <w:sz w:val="22"/>
          <w:szCs w:val="22"/>
        </w:rPr>
        <w:t>e used without inducing excessive computational efforts in “real” industrial problems.</w:t>
      </w:r>
    </w:p>
    <w:p w14:paraId="31658FAF" w14:textId="2CF38291" w:rsidR="006326C5" w:rsidRPr="006326C5" w:rsidRDefault="006326C5" w:rsidP="006326C5">
      <w:pPr>
        <w:pStyle w:val="BodyTextIndent"/>
        <w:rPr>
          <w:sz w:val="22"/>
          <w:szCs w:val="22"/>
        </w:rPr>
      </w:pPr>
      <w:r w:rsidRPr="006326C5">
        <w:rPr>
          <w:sz w:val="22"/>
          <w:szCs w:val="22"/>
        </w:rPr>
        <w:t xml:space="preserve">A future perspective for this activity is a regular updating of the document according to the most recent progress in the field of CFD as well as a potential transformation of the </w:t>
      </w:r>
      <w:r w:rsidR="00A72149">
        <w:rPr>
          <w:sz w:val="22"/>
          <w:szCs w:val="22"/>
        </w:rPr>
        <w:t>BPG</w:t>
      </w:r>
      <w:r w:rsidR="00A72149" w:rsidRPr="006326C5">
        <w:rPr>
          <w:sz w:val="22"/>
          <w:szCs w:val="22"/>
        </w:rPr>
        <w:t xml:space="preserve"> </w:t>
      </w:r>
      <w:r w:rsidRPr="006326C5">
        <w:rPr>
          <w:sz w:val="22"/>
          <w:szCs w:val="22"/>
        </w:rPr>
        <w:t>into specific application</w:t>
      </w:r>
      <w:r w:rsidR="00CE3629">
        <w:rPr>
          <w:sz w:val="22"/>
          <w:szCs w:val="22"/>
        </w:rPr>
        <w:t>s</w:t>
      </w:r>
      <w:r w:rsidRPr="006326C5">
        <w:rPr>
          <w:sz w:val="22"/>
          <w:szCs w:val="22"/>
        </w:rPr>
        <w:t>.</w:t>
      </w:r>
    </w:p>
    <w:p w14:paraId="77D0AC02" w14:textId="77777777" w:rsidR="006326C5" w:rsidRDefault="006326C5" w:rsidP="009516F4">
      <w:pPr>
        <w:pStyle w:val="BodyTextIndent"/>
        <w:rPr>
          <w:sz w:val="22"/>
          <w:szCs w:val="22"/>
        </w:rPr>
      </w:pPr>
    </w:p>
    <w:p w14:paraId="5F5EEF4A" w14:textId="766D57E8" w:rsidR="002E7EFD" w:rsidRPr="00BB7497" w:rsidRDefault="002E7EFD" w:rsidP="005F32EF">
      <w:pPr>
        <w:pStyle w:val="BodyTextIndent"/>
        <w:keepNext/>
        <w:widowControl w:val="0"/>
        <w:ind w:firstLine="357"/>
        <w:jc w:val="left"/>
        <w:rPr>
          <w:b/>
          <w:bCs/>
          <w:i/>
          <w:iCs/>
          <w:sz w:val="22"/>
          <w:szCs w:val="22"/>
        </w:rPr>
      </w:pPr>
      <w:r w:rsidRPr="00BB7497">
        <w:rPr>
          <w:b/>
          <w:bCs/>
          <w:i/>
          <w:iCs/>
          <w:sz w:val="22"/>
          <w:szCs w:val="22"/>
        </w:rPr>
        <w:t>II</w:t>
      </w:r>
      <w:r w:rsidR="00E13341">
        <w:rPr>
          <w:b/>
          <w:bCs/>
          <w:i/>
          <w:iCs/>
          <w:sz w:val="22"/>
          <w:szCs w:val="22"/>
        </w:rPr>
        <w:t>I</w:t>
      </w:r>
      <w:r w:rsidRPr="00BB7497">
        <w:rPr>
          <w:b/>
          <w:bCs/>
          <w:i/>
          <w:iCs/>
          <w:sz w:val="22"/>
          <w:szCs w:val="22"/>
        </w:rPr>
        <w:t>.</w:t>
      </w:r>
      <w:r w:rsidR="00D40DF4">
        <w:rPr>
          <w:b/>
          <w:bCs/>
          <w:i/>
          <w:iCs/>
          <w:sz w:val="22"/>
          <w:szCs w:val="22"/>
        </w:rPr>
        <w:t>B</w:t>
      </w:r>
      <w:r w:rsidRPr="00BB7497">
        <w:rPr>
          <w:b/>
          <w:bCs/>
          <w:i/>
          <w:iCs/>
          <w:sz w:val="22"/>
          <w:szCs w:val="22"/>
        </w:rPr>
        <w:t xml:space="preserve">. </w:t>
      </w:r>
      <w:r>
        <w:rPr>
          <w:b/>
          <w:bCs/>
          <w:i/>
          <w:iCs/>
          <w:sz w:val="22"/>
          <w:szCs w:val="22"/>
        </w:rPr>
        <w:t xml:space="preserve">Benchmark </w:t>
      </w:r>
    </w:p>
    <w:p w14:paraId="7EB2C865" w14:textId="25C242A7" w:rsidR="009516F4" w:rsidRDefault="009516F4" w:rsidP="005F32EF">
      <w:pPr>
        <w:pStyle w:val="BodyTextIndent"/>
        <w:widowControl w:val="0"/>
        <w:rPr>
          <w:sz w:val="22"/>
          <w:szCs w:val="22"/>
        </w:rPr>
      </w:pPr>
      <w:r>
        <w:rPr>
          <w:sz w:val="22"/>
          <w:szCs w:val="22"/>
        </w:rPr>
        <w:t xml:space="preserve">The current benchmark addresses </w:t>
      </w:r>
      <w:r w:rsidRPr="006326C5">
        <w:rPr>
          <w:b/>
          <w:sz w:val="22"/>
          <w:szCs w:val="22"/>
        </w:rPr>
        <w:t>thermal mixing and fatigue in a dead</w:t>
      </w:r>
      <w:r w:rsidR="00A72149">
        <w:rPr>
          <w:b/>
          <w:sz w:val="22"/>
          <w:szCs w:val="22"/>
        </w:rPr>
        <w:t>-end</w:t>
      </w:r>
      <w:r w:rsidRPr="006326C5">
        <w:rPr>
          <w:b/>
          <w:sz w:val="22"/>
          <w:szCs w:val="22"/>
        </w:rPr>
        <w:t xml:space="preserve"> le</w:t>
      </w:r>
      <w:r w:rsidRPr="00A72149">
        <w:rPr>
          <w:b/>
          <w:sz w:val="22"/>
          <w:szCs w:val="22"/>
        </w:rPr>
        <w:t>g</w:t>
      </w:r>
      <w:r w:rsidRPr="005F32EF">
        <w:rPr>
          <w:b/>
          <w:sz w:val="22"/>
          <w:szCs w:val="22"/>
        </w:rPr>
        <w:t xml:space="preserve"> </w:t>
      </w:r>
      <w:r w:rsidR="00A72149" w:rsidRPr="005F32EF">
        <w:rPr>
          <w:b/>
          <w:sz w:val="22"/>
          <w:szCs w:val="22"/>
        </w:rPr>
        <w:t xml:space="preserve">connected to </w:t>
      </w:r>
      <w:r w:rsidR="00A72149">
        <w:rPr>
          <w:b/>
          <w:sz w:val="22"/>
          <w:szCs w:val="22"/>
        </w:rPr>
        <w:t xml:space="preserve">a </w:t>
      </w:r>
      <w:r w:rsidR="00A72149" w:rsidRPr="005F32EF">
        <w:rPr>
          <w:b/>
          <w:sz w:val="22"/>
          <w:szCs w:val="22"/>
        </w:rPr>
        <w:t xml:space="preserve">main pipe with </w:t>
      </w:r>
      <w:r w:rsidR="00A72149" w:rsidRPr="006326C5">
        <w:rPr>
          <w:b/>
          <w:sz w:val="22"/>
          <w:szCs w:val="22"/>
        </w:rPr>
        <w:t xml:space="preserve">a T-junction </w:t>
      </w:r>
      <w:r>
        <w:rPr>
          <w:sz w:val="22"/>
          <w:szCs w:val="22"/>
        </w:rPr>
        <w:t xml:space="preserve">led by </w:t>
      </w:r>
      <w:r w:rsidR="00A72149">
        <w:rPr>
          <w:sz w:val="22"/>
          <w:szCs w:val="22"/>
        </w:rPr>
        <w:t xml:space="preserve">the </w:t>
      </w:r>
      <w:r>
        <w:rPr>
          <w:sz w:val="22"/>
          <w:szCs w:val="22"/>
        </w:rPr>
        <w:t xml:space="preserve">Vattenfall for the experimental part </w:t>
      </w:r>
      <w:r w:rsidR="00103A1C">
        <w:rPr>
          <w:sz w:val="22"/>
          <w:szCs w:val="22"/>
        </w:rPr>
        <w:t xml:space="preserve">(Vattenfall T-Junction facility) </w:t>
      </w:r>
      <w:r>
        <w:rPr>
          <w:sz w:val="22"/>
          <w:szCs w:val="22"/>
        </w:rPr>
        <w:t xml:space="preserve">and </w:t>
      </w:r>
      <w:r w:rsidR="00A72149">
        <w:rPr>
          <w:sz w:val="22"/>
          <w:szCs w:val="22"/>
        </w:rPr>
        <w:t xml:space="preserve">by the </w:t>
      </w:r>
      <w:r>
        <w:rPr>
          <w:sz w:val="22"/>
          <w:szCs w:val="22"/>
        </w:rPr>
        <w:t xml:space="preserve">PSI and ETZH for the analytical part. </w:t>
      </w:r>
    </w:p>
    <w:p w14:paraId="5E32EFFF" w14:textId="34F492E4" w:rsidR="009516F4" w:rsidRDefault="009516F4" w:rsidP="005F32EF">
      <w:pPr>
        <w:pStyle w:val="BodyTextIndent"/>
        <w:widowControl w:val="0"/>
        <w:rPr>
          <w:sz w:val="22"/>
          <w:szCs w:val="22"/>
        </w:rPr>
      </w:pPr>
      <w:r w:rsidRPr="009516F4">
        <w:rPr>
          <w:sz w:val="22"/>
          <w:szCs w:val="22"/>
        </w:rPr>
        <w:t xml:space="preserve">The </w:t>
      </w:r>
      <w:r w:rsidR="00A72149">
        <w:rPr>
          <w:sz w:val="22"/>
          <w:szCs w:val="22"/>
        </w:rPr>
        <w:t xml:space="preserve">benchmark </w:t>
      </w:r>
      <w:r w:rsidRPr="009516F4">
        <w:rPr>
          <w:sz w:val="22"/>
          <w:szCs w:val="22"/>
        </w:rPr>
        <w:t>is</w:t>
      </w:r>
      <w:r w:rsidR="00A72149">
        <w:rPr>
          <w:sz w:val="22"/>
          <w:szCs w:val="22"/>
        </w:rPr>
        <w:t xml:space="preserve"> aimed</w:t>
      </w:r>
      <w:r w:rsidRPr="009516F4">
        <w:rPr>
          <w:sz w:val="22"/>
          <w:szCs w:val="22"/>
        </w:rPr>
        <w:t xml:space="preserve"> to assess and validate the </w:t>
      </w:r>
      <w:r w:rsidR="00CE3629" w:rsidRPr="009516F4">
        <w:rPr>
          <w:sz w:val="22"/>
          <w:szCs w:val="22"/>
        </w:rPr>
        <w:t xml:space="preserve">CFD </w:t>
      </w:r>
      <w:r w:rsidRPr="009516F4">
        <w:rPr>
          <w:sz w:val="22"/>
          <w:szCs w:val="22"/>
        </w:rPr>
        <w:t xml:space="preserve">predictive capabilities </w:t>
      </w:r>
      <w:r w:rsidR="00CE3629">
        <w:rPr>
          <w:sz w:val="22"/>
          <w:szCs w:val="22"/>
        </w:rPr>
        <w:t>in</w:t>
      </w:r>
      <w:r w:rsidRPr="009516F4">
        <w:rPr>
          <w:sz w:val="22"/>
          <w:szCs w:val="22"/>
        </w:rPr>
        <w:t xml:space="preserve"> the evaluation of the failure risk of </w:t>
      </w:r>
      <w:r w:rsidR="009C41D4">
        <w:rPr>
          <w:sz w:val="22"/>
          <w:szCs w:val="22"/>
        </w:rPr>
        <w:t xml:space="preserve">a </w:t>
      </w:r>
      <w:r w:rsidRPr="009516F4">
        <w:rPr>
          <w:sz w:val="22"/>
          <w:szCs w:val="22"/>
        </w:rPr>
        <w:t>T-junction</w:t>
      </w:r>
      <w:r w:rsidR="009C41D4">
        <w:rPr>
          <w:sz w:val="22"/>
          <w:szCs w:val="22"/>
        </w:rPr>
        <w:t>-connected</w:t>
      </w:r>
      <w:r w:rsidRPr="009516F4">
        <w:rPr>
          <w:sz w:val="22"/>
          <w:szCs w:val="22"/>
        </w:rPr>
        <w:t xml:space="preserve"> dead</w:t>
      </w:r>
      <w:r w:rsidR="009C41D4">
        <w:rPr>
          <w:sz w:val="22"/>
          <w:szCs w:val="22"/>
        </w:rPr>
        <w:t>-end</w:t>
      </w:r>
      <w:r w:rsidRPr="009516F4">
        <w:rPr>
          <w:sz w:val="22"/>
          <w:szCs w:val="22"/>
        </w:rPr>
        <w:t xml:space="preserve"> leg at </w:t>
      </w:r>
      <w:r w:rsidR="009C41D4">
        <w:rPr>
          <w:sz w:val="22"/>
          <w:szCs w:val="22"/>
        </w:rPr>
        <w:t>NPP</w:t>
      </w:r>
      <w:r w:rsidRPr="009516F4">
        <w:rPr>
          <w:sz w:val="22"/>
          <w:szCs w:val="22"/>
        </w:rPr>
        <w:t xml:space="preserve">s. </w:t>
      </w:r>
      <w:r w:rsidR="00CE3629">
        <w:rPr>
          <w:sz w:val="22"/>
          <w:szCs w:val="22"/>
        </w:rPr>
        <w:t>U</w:t>
      </w:r>
      <w:r w:rsidR="009C41D4">
        <w:rPr>
          <w:sz w:val="22"/>
          <w:szCs w:val="22"/>
        </w:rPr>
        <w:t xml:space="preserve">nstable </w:t>
      </w:r>
      <w:r w:rsidR="00CE3629">
        <w:rPr>
          <w:sz w:val="22"/>
          <w:szCs w:val="22"/>
        </w:rPr>
        <w:t xml:space="preserve">T/H </w:t>
      </w:r>
      <w:r w:rsidR="009C41D4">
        <w:rPr>
          <w:sz w:val="22"/>
          <w:szCs w:val="22"/>
        </w:rPr>
        <w:t>response</w:t>
      </w:r>
      <w:r w:rsidRPr="009516F4">
        <w:rPr>
          <w:sz w:val="22"/>
          <w:szCs w:val="22"/>
        </w:rPr>
        <w:t xml:space="preserve"> </w:t>
      </w:r>
      <w:r w:rsidR="00CE3629">
        <w:rPr>
          <w:sz w:val="22"/>
          <w:szCs w:val="22"/>
        </w:rPr>
        <w:t>in</w:t>
      </w:r>
      <w:r w:rsidR="00CE3629" w:rsidRPr="009516F4">
        <w:rPr>
          <w:sz w:val="22"/>
          <w:szCs w:val="22"/>
        </w:rPr>
        <w:t xml:space="preserve"> </w:t>
      </w:r>
      <w:r w:rsidR="009C41D4">
        <w:rPr>
          <w:sz w:val="22"/>
          <w:szCs w:val="22"/>
        </w:rPr>
        <w:t xml:space="preserve">the </w:t>
      </w:r>
      <w:r w:rsidRPr="009516F4">
        <w:rPr>
          <w:sz w:val="22"/>
          <w:szCs w:val="22"/>
        </w:rPr>
        <w:t>dead</w:t>
      </w:r>
      <w:r w:rsidR="009C41D4">
        <w:rPr>
          <w:sz w:val="22"/>
          <w:szCs w:val="22"/>
        </w:rPr>
        <w:t>-end</w:t>
      </w:r>
      <w:r w:rsidRPr="009516F4">
        <w:rPr>
          <w:sz w:val="22"/>
          <w:szCs w:val="22"/>
        </w:rPr>
        <w:t xml:space="preserve"> leg flows is a source of thermal </w:t>
      </w:r>
      <w:r w:rsidR="009C41D4">
        <w:rPr>
          <w:sz w:val="22"/>
          <w:szCs w:val="22"/>
        </w:rPr>
        <w:t>fluctuation</w:t>
      </w:r>
      <w:r w:rsidR="009C41D4" w:rsidRPr="009516F4">
        <w:rPr>
          <w:sz w:val="22"/>
          <w:szCs w:val="22"/>
        </w:rPr>
        <w:t xml:space="preserve"> </w:t>
      </w:r>
      <w:r w:rsidRPr="009516F4">
        <w:rPr>
          <w:sz w:val="22"/>
          <w:szCs w:val="22"/>
        </w:rPr>
        <w:t xml:space="preserve">that can provoke thermal fatigue in auxiliary lines. </w:t>
      </w:r>
      <w:r w:rsidR="009C41D4">
        <w:rPr>
          <w:sz w:val="22"/>
          <w:szCs w:val="22"/>
        </w:rPr>
        <w:t>T</w:t>
      </w:r>
      <w:r w:rsidRPr="009516F4">
        <w:rPr>
          <w:sz w:val="22"/>
          <w:szCs w:val="22"/>
        </w:rPr>
        <w:t xml:space="preserve">hese flows </w:t>
      </w:r>
      <w:r w:rsidR="009C41D4">
        <w:rPr>
          <w:sz w:val="22"/>
          <w:szCs w:val="22"/>
        </w:rPr>
        <w:t>may</w:t>
      </w:r>
      <w:r w:rsidR="009C41D4" w:rsidRPr="009516F4">
        <w:rPr>
          <w:sz w:val="22"/>
          <w:szCs w:val="22"/>
        </w:rPr>
        <w:t xml:space="preserve"> </w:t>
      </w:r>
      <w:r w:rsidRPr="009516F4">
        <w:rPr>
          <w:sz w:val="22"/>
          <w:szCs w:val="22"/>
        </w:rPr>
        <w:t xml:space="preserve">contribute to the </w:t>
      </w:r>
      <w:r w:rsidR="00323E1F">
        <w:rPr>
          <w:sz w:val="22"/>
          <w:szCs w:val="22"/>
        </w:rPr>
        <w:t>occurrence</w:t>
      </w:r>
      <w:r w:rsidR="00323E1F" w:rsidRPr="009516F4">
        <w:rPr>
          <w:sz w:val="22"/>
          <w:szCs w:val="22"/>
        </w:rPr>
        <w:t xml:space="preserve"> </w:t>
      </w:r>
      <w:r w:rsidRPr="009516F4">
        <w:rPr>
          <w:sz w:val="22"/>
          <w:szCs w:val="22"/>
        </w:rPr>
        <w:t>of stress corrosion</w:t>
      </w:r>
      <w:r w:rsidR="00323E1F">
        <w:rPr>
          <w:sz w:val="22"/>
          <w:szCs w:val="22"/>
        </w:rPr>
        <w:t xml:space="preserve"> too</w:t>
      </w:r>
      <w:r w:rsidRPr="009516F4">
        <w:rPr>
          <w:sz w:val="22"/>
          <w:szCs w:val="22"/>
        </w:rPr>
        <w:t>. This work will lead to a better understanding of the phenomenology and improved anticipation of the risk of auxiliary line failure. It is also hoped that this work can contribute to better control the flow and hence mitigate the risk of failure.</w:t>
      </w:r>
    </w:p>
    <w:p w14:paraId="61F80271" w14:textId="7AC6CCB3" w:rsidR="00D40DF4" w:rsidRDefault="009516F4" w:rsidP="00D40DF4">
      <w:pPr>
        <w:pStyle w:val="BodyTextIndent"/>
        <w:rPr>
          <w:sz w:val="22"/>
          <w:szCs w:val="22"/>
        </w:rPr>
      </w:pPr>
      <w:r w:rsidRPr="009516F4">
        <w:rPr>
          <w:sz w:val="22"/>
          <w:szCs w:val="22"/>
        </w:rPr>
        <w:t xml:space="preserve">Past experiments available on this type of flows </w:t>
      </w:r>
      <w:r w:rsidR="009C41D4">
        <w:rPr>
          <w:sz w:val="22"/>
          <w:szCs w:val="22"/>
        </w:rPr>
        <w:t>had</w:t>
      </w:r>
      <w:r w:rsidRPr="009516F4">
        <w:rPr>
          <w:sz w:val="22"/>
          <w:szCs w:val="22"/>
        </w:rPr>
        <w:t xml:space="preserve"> insufficien</w:t>
      </w:r>
      <w:r w:rsidR="009C41D4">
        <w:rPr>
          <w:sz w:val="22"/>
          <w:szCs w:val="22"/>
        </w:rPr>
        <w:t>cies</w:t>
      </w:r>
      <w:r w:rsidRPr="009516F4">
        <w:rPr>
          <w:sz w:val="22"/>
          <w:szCs w:val="22"/>
        </w:rPr>
        <w:t xml:space="preserve"> for the validation of CFD methodologies. </w:t>
      </w:r>
      <w:r w:rsidR="00323E1F">
        <w:rPr>
          <w:sz w:val="22"/>
          <w:szCs w:val="22"/>
        </w:rPr>
        <w:t>Currently</w:t>
      </w:r>
      <w:r w:rsidRPr="009516F4">
        <w:rPr>
          <w:sz w:val="22"/>
          <w:szCs w:val="22"/>
        </w:rPr>
        <w:t xml:space="preserve">, semi-empirical tools based on </w:t>
      </w:r>
      <w:r w:rsidR="00103A1C">
        <w:rPr>
          <w:sz w:val="22"/>
          <w:szCs w:val="22"/>
        </w:rPr>
        <w:t xml:space="preserve">scaled-down </w:t>
      </w:r>
      <w:r w:rsidRPr="009516F4">
        <w:rPr>
          <w:sz w:val="22"/>
          <w:szCs w:val="22"/>
        </w:rPr>
        <w:t xml:space="preserve">experiments conducted at room temperature are used for the screening of potential problems, and plant measurements are used to monitor potential risks. The current prediction and screening </w:t>
      </w:r>
      <w:r w:rsidRPr="009516F4">
        <w:rPr>
          <w:sz w:val="22"/>
          <w:szCs w:val="22"/>
        </w:rPr>
        <w:t>methods have large uncertainties and can lead to wrong conclusions. Monitoring is also uncertain, time consuming and expensive.</w:t>
      </w:r>
    </w:p>
    <w:p w14:paraId="12741B31" w14:textId="10D0AF58" w:rsidR="00D40DF4" w:rsidRDefault="00D40DF4">
      <w:pPr>
        <w:pStyle w:val="BodyTextIndent"/>
        <w:rPr>
          <w:sz w:val="22"/>
          <w:szCs w:val="22"/>
        </w:rPr>
      </w:pPr>
      <w:r>
        <w:rPr>
          <w:sz w:val="22"/>
          <w:szCs w:val="22"/>
        </w:rPr>
        <w:t xml:space="preserve">A new benchmark proposal will be discussed during the next </w:t>
      </w:r>
      <w:r w:rsidR="00103A1C">
        <w:rPr>
          <w:sz w:val="22"/>
          <w:szCs w:val="22"/>
        </w:rPr>
        <w:t xml:space="preserve">TG </w:t>
      </w:r>
      <w:r>
        <w:rPr>
          <w:sz w:val="22"/>
          <w:szCs w:val="22"/>
        </w:rPr>
        <w:t xml:space="preserve">meeting in June 2024. </w:t>
      </w:r>
    </w:p>
    <w:p w14:paraId="254484CB" w14:textId="77777777" w:rsidR="009516F4" w:rsidRDefault="009516F4">
      <w:pPr>
        <w:pStyle w:val="BodyTextIndent"/>
        <w:rPr>
          <w:sz w:val="22"/>
          <w:szCs w:val="22"/>
        </w:rPr>
      </w:pPr>
    </w:p>
    <w:p w14:paraId="34C802DC" w14:textId="2B545EA8" w:rsidR="002E7EFD" w:rsidRPr="00BB7497" w:rsidRDefault="002E7EFD" w:rsidP="002E7EFD">
      <w:pPr>
        <w:pStyle w:val="BodyTextIndent"/>
        <w:jc w:val="left"/>
        <w:rPr>
          <w:b/>
          <w:bCs/>
          <w:i/>
          <w:iCs/>
          <w:sz w:val="22"/>
          <w:szCs w:val="22"/>
        </w:rPr>
      </w:pPr>
      <w:r w:rsidRPr="00BB7497">
        <w:rPr>
          <w:b/>
          <w:bCs/>
          <w:i/>
          <w:iCs/>
          <w:sz w:val="22"/>
          <w:szCs w:val="22"/>
        </w:rPr>
        <w:t>II</w:t>
      </w:r>
      <w:r w:rsidR="00E13341">
        <w:rPr>
          <w:b/>
          <w:bCs/>
          <w:i/>
          <w:iCs/>
          <w:sz w:val="22"/>
          <w:szCs w:val="22"/>
        </w:rPr>
        <w:t>I</w:t>
      </w:r>
      <w:r w:rsidRPr="00BB7497">
        <w:rPr>
          <w:b/>
          <w:bCs/>
          <w:i/>
          <w:iCs/>
          <w:sz w:val="22"/>
          <w:szCs w:val="22"/>
        </w:rPr>
        <w:t>.</w:t>
      </w:r>
      <w:r w:rsidR="00D40DF4">
        <w:rPr>
          <w:b/>
          <w:bCs/>
          <w:i/>
          <w:iCs/>
          <w:sz w:val="22"/>
          <w:szCs w:val="22"/>
        </w:rPr>
        <w:t>C</w:t>
      </w:r>
      <w:r w:rsidRPr="00BB7497">
        <w:rPr>
          <w:b/>
          <w:bCs/>
          <w:i/>
          <w:iCs/>
          <w:sz w:val="22"/>
          <w:szCs w:val="22"/>
        </w:rPr>
        <w:t xml:space="preserve">. </w:t>
      </w:r>
      <w:r>
        <w:rPr>
          <w:b/>
          <w:bCs/>
          <w:i/>
          <w:iCs/>
          <w:sz w:val="22"/>
          <w:szCs w:val="22"/>
        </w:rPr>
        <w:t>Workshop</w:t>
      </w:r>
      <w:r w:rsidR="00103A1C">
        <w:rPr>
          <w:b/>
          <w:bCs/>
          <w:i/>
          <w:iCs/>
          <w:sz w:val="22"/>
          <w:szCs w:val="22"/>
        </w:rPr>
        <w:t xml:space="preserve"> (WS)</w:t>
      </w:r>
    </w:p>
    <w:p w14:paraId="3BF1F818" w14:textId="426EA6B6" w:rsidR="00684383" w:rsidRDefault="009516F4" w:rsidP="005F32EF">
      <w:pPr>
        <w:pStyle w:val="BodyTextIndent"/>
        <w:widowControl w:val="0"/>
        <w:ind w:firstLine="357"/>
        <w:rPr>
          <w:sz w:val="22"/>
          <w:szCs w:val="22"/>
        </w:rPr>
      </w:pPr>
      <w:r w:rsidRPr="009516F4">
        <w:rPr>
          <w:sz w:val="22"/>
          <w:szCs w:val="22"/>
        </w:rPr>
        <w:t xml:space="preserve">The </w:t>
      </w:r>
      <w:r>
        <w:rPr>
          <w:sz w:val="22"/>
          <w:szCs w:val="22"/>
        </w:rPr>
        <w:t>ninth</w:t>
      </w:r>
      <w:r w:rsidRPr="009516F4">
        <w:rPr>
          <w:sz w:val="22"/>
          <w:szCs w:val="22"/>
        </w:rPr>
        <w:t xml:space="preserve"> </w:t>
      </w:r>
      <w:r w:rsidR="00103A1C">
        <w:rPr>
          <w:b/>
          <w:sz w:val="22"/>
          <w:szCs w:val="22"/>
        </w:rPr>
        <w:t>WS</w:t>
      </w:r>
      <w:r w:rsidR="00E13341" w:rsidRPr="009516F4">
        <w:rPr>
          <w:sz w:val="22"/>
          <w:szCs w:val="22"/>
        </w:rPr>
        <w:t xml:space="preserve"> </w:t>
      </w:r>
      <w:r w:rsidR="00E13341">
        <w:rPr>
          <w:sz w:val="22"/>
          <w:szCs w:val="22"/>
        </w:rPr>
        <w:t xml:space="preserve">of </w:t>
      </w:r>
      <w:r w:rsidRPr="006326C5">
        <w:rPr>
          <w:b/>
          <w:sz w:val="22"/>
          <w:szCs w:val="22"/>
        </w:rPr>
        <w:t xml:space="preserve">OECD/NEA CSNI CFD for NRS (CFD4NRS-9) </w:t>
      </w:r>
      <w:r w:rsidRPr="009516F4">
        <w:rPr>
          <w:sz w:val="22"/>
          <w:szCs w:val="22"/>
          <w:highlight w:val="green"/>
        </w:rPr>
        <w:t>[</w:t>
      </w:r>
      <w:r w:rsidR="007077A5">
        <w:rPr>
          <w:sz w:val="22"/>
          <w:szCs w:val="22"/>
          <w:highlight w:val="green"/>
        </w:rPr>
        <w:t>12</w:t>
      </w:r>
      <w:r w:rsidRPr="009516F4">
        <w:rPr>
          <w:sz w:val="22"/>
          <w:szCs w:val="22"/>
          <w:highlight w:val="green"/>
        </w:rPr>
        <w:t>]</w:t>
      </w:r>
      <w:r w:rsidRPr="009516F4">
        <w:rPr>
          <w:sz w:val="22"/>
          <w:szCs w:val="22"/>
        </w:rPr>
        <w:t xml:space="preserve"> was held </w:t>
      </w:r>
      <w:r w:rsidR="00103A1C">
        <w:rPr>
          <w:sz w:val="22"/>
          <w:szCs w:val="22"/>
        </w:rPr>
        <w:t xml:space="preserve">in </w:t>
      </w:r>
      <w:r w:rsidR="00103A1C" w:rsidRPr="006326C5">
        <w:rPr>
          <w:sz w:val="22"/>
          <w:szCs w:val="22"/>
        </w:rPr>
        <w:t>February 2023</w:t>
      </w:r>
      <w:r w:rsidR="00103A1C">
        <w:rPr>
          <w:sz w:val="22"/>
          <w:szCs w:val="22"/>
        </w:rPr>
        <w:t>, being</w:t>
      </w:r>
      <w:r w:rsidR="00103A1C" w:rsidRPr="006326C5">
        <w:rPr>
          <w:sz w:val="22"/>
          <w:szCs w:val="22"/>
        </w:rPr>
        <w:t xml:space="preserve"> </w:t>
      </w:r>
      <w:r w:rsidR="006326C5" w:rsidRPr="006326C5">
        <w:rPr>
          <w:sz w:val="22"/>
          <w:szCs w:val="22"/>
        </w:rPr>
        <w:t xml:space="preserve">hosted by </w:t>
      </w:r>
      <w:r w:rsidR="00103A1C">
        <w:rPr>
          <w:sz w:val="22"/>
          <w:szCs w:val="22"/>
        </w:rPr>
        <w:t xml:space="preserve">the </w:t>
      </w:r>
      <w:r w:rsidR="006326C5" w:rsidRPr="006326C5">
        <w:rPr>
          <w:sz w:val="22"/>
          <w:szCs w:val="22"/>
        </w:rPr>
        <w:t>Texas A&amp;M University</w:t>
      </w:r>
      <w:r w:rsidR="00103A1C">
        <w:rPr>
          <w:sz w:val="22"/>
          <w:szCs w:val="22"/>
        </w:rPr>
        <w:t xml:space="preserve"> at</w:t>
      </w:r>
      <w:r w:rsidR="006326C5" w:rsidRPr="006326C5">
        <w:rPr>
          <w:sz w:val="22"/>
          <w:szCs w:val="22"/>
        </w:rPr>
        <w:t xml:space="preserve"> </w:t>
      </w:r>
      <w:r w:rsidR="00103A1C">
        <w:rPr>
          <w:sz w:val="22"/>
          <w:szCs w:val="22"/>
        </w:rPr>
        <w:t xml:space="preserve">the </w:t>
      </w:r>
      <w:r w:rsidR="00103A1C" w:rsidRPr="006326C5">
        <w:rPr>
          <w:sz w:val="22"/>
          <w:szCs w:val="22"/>
        </w:rPr>
        <w:t xml:space="preserve">Center for Advanced Small Modular and Microreactors (CASMR) in </w:t>
      </w:r>
      <w:r w:rsidR="006326C5" w:rsidRPr="006326C5">
        <w:rPr>
          <w:sz w:val="22"/>
          <w:szCs w:val="22"/>
        </w:rPr>
        <w:t xml:space="preserve">College Station, Texas. </w:t>
      </w:r>
    </w:p>
    <w:p w14:paraId="53D28EA3" w14:textId="458DFC77" w:rsidR="006326C5" w:rsidRPr="006326C5" w:rsidRDefault="006326C5" w:rsidP="005F32EF">
      <w:pPr>
        <w:pStyle w:val="BodyTextIndent"/>
        <w:widowControl w:val="0"/>
        <w:ind w:firstLine="357"/>
        <w:rPr>
          <w:sz w:val="22"/>
          <w:szCs w:val="22"/>
        </w:rPr>
      </w:pPr>
      <w:r w:rsidRPr="006326C5">
        <w:rPr>
          <w:sz w:val="22"/>
          <w:szCs w:val="22"/>
        </w:rPr>
        <w:t xml:space="preserve">The </w:t>
      </w:r>
      <w:r w:rsidR="001A7609" w:rsidRPr="006326C5">
        <w:rPr>
          <w:b/>
          <w:sz w:val="22"/>
          <w:szCs w:val="22"/>
        </w:rPr>
        <w:t>CFD4NRS-9</w:t>
      </w:r>
      <w:r w:rsidR="001A7609">
        <w:rPr>
          <w:b/>
          <w:sz w:val="22"/>
          <w:szCs w:val="22"/>
        </w:rPr>
        <w:t xml:space="preserve"> </w:t>
      </w:r>
      <w:r w:rsidR="001A7609" w:rsidRPr="005F32EF">
        <w:rPr>
          <w:bCs/>
          <w:sz w:val="22"/>
          <w:szCs w:val="22"/>
        </w:rPr>
        <w:t xml:space="preserve">WS </w:t>
      </w:r>
      <w:r w:rsidRPr="006326C5">
        <w:rPr>
          <w:sz w:val="22"/>
          <w:szCs w:val="22"/>
        </w:rPr>
        <w:t xml:space="preserve">brought together nuclear safety research organizations, </w:t>
      </w:r>
      <w:r w:rsidR="001A7609">
        <w:rPr>
          <w:sz w:val="22"/>
          <w:szCs w:val="22"/>
        </w:rPr>
        <w:t>TSOs</w:t>
      </w:r>
      <w:r w:rsidRPr="006326C5">
        <w:rPr>
          <w:sz w:val="22"/>
          <w:szCs w:val="22"/>
        </w:rPr>
        <w:t>, industry and academia, to exchange and share experiences and research results of the development, assessment, and applications of single-phase and multi-phase simulation tools acting at the small scale for NRS issues, and to address both CFD applications and the related experimental and instrumentation issues.</w:t>
      </w:r>
    </w:p>
    <w:p w14:paraId="4FB6E811" w14:textId="36333814" w:rsidR="006326C5" w:rsidRPr="006326C5" w:rsidRDefault="006326C5" w:rsidP="005F32EF">
      <w:pPr>
        <w:pStyle w:val="BodyTextIndent"/>
        <w:widowControl w:val="0"/>
        <w:ind w:firstLine="357"/>
        <w:rPr>
          <w:sz w:val="22"/>
          <w:szCs w:val="22"/>
        </w:rPr>
      </w:pPr>
      <w:r w:rsidRPr="006326C5">
        <w:rPr>
          <w:sz w:val="22"/>
          <w:szCs w:val="22"/>
        </w:rPr>
        <w:t xml:space="preserve">The </w:t>
      </w:r>
      <w:r w:rsidR="00684383">
        <w:rPr>
          <w:sz w:val="22"/>
          <w:szCs w:val="22"/>
        </w:rPr>
        <w:t>w</w:t>
      </w:r>
      <w:r w:rsidRPr="006326C5">
        <w:rPr>
          <w:sz w:val="22"/>
          <w:szCs w:val="22"/>
        </w:rPr>
        <w:t xml:space="preserve">orkshop featured 3 </w:t>
      </w:r>
      <w:r w:rsidR="00E0452C">
        <w:rPr>
          <w:sz w:val="22"/>
          <w:szCs w:val="22"/>
        </w:rPr>
        <w:t>K</w:t>
      </w:r>
      <w:r w:rsidRPr="006326C5">
        <w:rPr>
          <w:sz w:val="22"/>
          <w:szCs w:val="22"/>
        </w:rPr>
        <w:t xml:space="preserve">eynote </w:t>
      </w:r>
      <w:r w:rsidR="00E0452C">
        <w:rPr>
          <w:sz w:val="22"/>
          <w:szCs w:val="22"/>
        </w:rPr>
        <w:t>L</w:t>
      </w:r>
      <w:r w:rsidRPr="006326C5">
        <w:rPr>
          <w:sz w:val="22"/>
          <w:szCs w:val="22"/>
        </w:rPr>
        <w:t>ectures, 2 Panel Session</w:t>
      </w:r>
      <w:r w:rsidR="00E0452C">
        <w:rPr>
          <w:sz w:val="22"/>
          <w:szCs w:val="22"/>
        </w:rPr>
        <w:t>s</w:t>
      </w:r>
      <w:r w:rsidRPr="006326C5">
        <w:rPr>
          <w:sz w:val="22"/>
          <w:szCs w:val="22"/>
        </w:rPr>
        <w:t xml:space="preserve"> and 50 oral presentations. Sixty participants attended the workshop and the emphasis was on offering exposure to state-of-the-art of CFD applications and to move forward in the </w:t>
      </w:r>
      <w:r w:rsidR="00B12EA4">
        <w:rPr>
          <w:sz w:val="22"/>
          <w:szCs w:val="22"/>
        </w:rPr>
        <w:t>use</w:t>
      </w:r>
      <w:r w:rsidR="00B12EA4" w:rsidRPr="006326C5">
        <w:rPr>
          <w:sz w:val="22"/>
          <w:szCs w:val="22"/>
        </w:rPr>
        <w:t xml:space="preserve"> </w:t>
      </w:r>
      <w:r w:rsidRPr="006326C5">
        <w:rPr>
          <w:sz w:val="22"/>
          <w:szCs w:val="22"/>
        </w:rPr>
        <w:t xml:space="preserve">of CFD within the industry and regulatory authorities. </w:t>
      </w:r>
    </w:p>
    <w:p w14:paraId="36F1C0BF" w14:textId="666CA5D8" w:rsidR="006326C5" w:rsidRPr="006326C5" w:rsidRDefault="006326C5" w:rsidP="005F32EF">
      <w:pPr>
        <w:pStyle w:val="BodyTextIndent"/>
        <w:widowControl w:val="0"/>
        <w:rPr>
          <w:sz w:val="22"/>
          <w:szCs w:val="22"/>
        </w:rPr>
      </w:pPr>
      <w:r w:rsidRPr="006326C5">
        <w:rPr>
          <w:sz w:val="22"/>
          <w:szCs w:val="22"/>
        </w:rPr>
        <w:t xml:space="preserve">Some key recommendations emerged from the </w:t>
      </w:r>
      <w:r w:rsidR="00E0452C">
        <w:rPr>
          <w:sz w:val="22"/>
          <w:szCs w:val="22"/>
        </w:rPr>
        <w:t>WS</w:t>
      </w:r>
      <w:r w:rsidRPr="006326C5">
        <w:rPr>
          <w:sz w:val="22"/>
          <w:szCs w:val="22"/>
        </w:rPr>
        <w:t xml:space="preserve">. One of those is the necessity of “minimum standards” in contrast to </w:t>
      </w:r>
      <w:r w:rsidR="00C4796F">
        <w:rPr>
          <w:sz w:val="22"/>
          <w:szCs w:val="22"/>
        </w:rPr>
        <w:t xml:space="preserve">the </w:t>
      </w:r>
      <w:r w:rsidR="00E0452C">
        <w:rPr>
          <w:sz w:val="22"/>
          <w:szCs w:val="22"/>
        </w:rPr>
        <w:t>BPGs</w:t>
      </w:r>
      <w:r w:rsidRPr="006326C5">
        <w:rPr>
          <w:sz w:val="22"/>
          <w:szCs w:val="22"/>
        </w:rPr>
        <w:t xml:space="preserve"> for CFDs to </w:t>
      </w:r>
      <w:r w:rsidR="00B12EA4">
        <w:rPr>
          <w:sz w:val="22"/>
          <w:szCs w:val="22"/>
        </w:rPr>
        <w:t>be used by</w:t>
      </w:r>
      <w:r w:rsidR="00B12EA4" w:rsidRPr="006326C5">
        <w:rPr>
          <w:sz w:val="22"/>
          <w:szCs w:val="22"/>
        </w:rPr>
        <w:t xml:space="preserve"> </w:t>
      </w:r>
      <w:r w:rsidRPr="006326C5">
        <w:rPr>
          <w:sz w:val="22"/>
          <w:szCs w:val="22"/>
        </w:rPr>
        <w:t xml:space="preserve">the industry and regulatory bodies. Currently, </w:t>
      </w:r>
      <w:r w:rsidR="00C4796F">
        <w:rPr>
          <w:sz w:val="22"/>
          <w:szCs w:val="22"/>
        </w:rPr>
        <w:t>the</w:t>
      </w:r>
      <w:r w:rsidR="00C4796F" w:rsidRPr="006326C5">
        <w:rPr>
          <w:sz w:val="22"/>
          <w:szCs w:val="22"/>
        </w:rPr>
        <w:t xml:space="preserve"> </w:t>
      </w:r>
      <w:r w:rsidRPr="006326C5">
        <w:rPr>
          <w:sz w:val="22"/>
          <w:szCs w:val="22"/>
        </w:rPr>
        <w:t xml:space="preserve">BPGs are too complex and resource demanding to become a staple in nuclear industry. To create confidence in a CFD result, other simpler methods should be developed. This was in line with another insight which is the common effort required to push for open source codes outside academia and research institutions. There are some benefits associated with using open source codes, but a common collaboration is deemed necessary for this transition to happen. </w:t>
      </w:r>
    </w:p>
    <w:p w14:paraId="19DC557B" w14:textId="6F3093A2" w:rsidR="002E7EFD" w:rsidRDefault="006326C5" w:rsidP="005F32EF">
      <w:pPr>
        <w:pStyle w:val="BodyTextIndent"/>
        <w:widowControl w:val="0"/>
        <w:rPr>
          <w:sz w:val="22"/>
          <w:szCs w:val="22"/>
        </w:rPr>
      </w:pPr>
      <w:r w:rsidRPr="006326C5">
        <w:rPr>
          <w:sz w:val="22"/>
          <w:szCs w:val="22"/>
        </w:rPr>
        <w:t xml:space="preserve">Finally, the </w:t>
      </w:r>
      <w:r w:rsidR="003E1A27">
        <w:rPr>
          <w:sz w:val="22"/>
          <w:szCs w:val="22"/>
        </w:rPr>
        <w:t>WS</w:t>
      </w:r>
      <w:r w:rsidR="003E1A27" w:rsidRPr="006326C5">
        <w:rPr>
          <w:sz w:val="22"/>
          <w:szCs w:val="22"/>
        </w:rPr>
        <w:t xml:space="preserve"> </w:t>
      </w:r>
      <w:r w:rsidR="001E2A31">
        <w:rPr>
          <w:sz w:val="22"/>
          <w:szCs w:val="22"/>
        </w:rPr>
        <w:t xml:space="preserve">was </w:t>
      </w:r>
      <w:r w:rsidRPr="006326C5">
        <w:rPr>
          <w:sz w:val="22"/>
          <w:szCs w:val="22"/>
        </w:rPr>
        <w:t xml:space="preserve">exposed </w:t>
      </w:r>
      <w:r w:rsidR="001E2A31">
        <w:rPr>
          <w:sz w:val="22"/>
          <w:szCs w:val="22"/>
        </w:rPr>
        <w:t xml:space="preserve">to </w:t>
      </w:r>
      <w:r w:rsidRPr="006326C5">
        <w:rPr>
          <w:sz w:val="22"/>
          <w:szCs w:val="22"/>
        </w:rPr>
        <w:t>discussion and</w:t>
      </w:r>
      <w:r w:rsidR="003E1A27">
        <w:rPr>
          <w:sz w:val="22"/>
          <w:szCs w:val="22"/>
        </w:rPr>
        <w:t>,</w:t>
      </w:r>
      <w:r w:rsidRPr="006326C5">
        <w:rPr>
          <w:sz w:val="22"/>
          <w:szCs w:val="22"/>
        </w:rPr>
        <w:t xml:space="preserve"> to </w:t>
      </w:r>
      <w:r w:rsidR="00B12EA4">
        <w:rPr>
          <w:sz w:val="22"/>
          <w:szCs w:val="22"/>
        </w:rPr>
        <w:t xml:space="preserve">a </w:t>
      </w:r>
      <w:r w:rsidRPr="006326C5">
        <w:rPr>
          <w:sz w:val="22"/>
          <w:szCs w:val="22"/>
        </w:rPr>
        <w:t>certain degree, disagreement on the adequacy of numerical models, schemes and closure equations to model specific phenomena with different fluids or conditions, proving that experimental work coupled to numerical results, should still be part of the collaborative effort to expand the confidence in CFDs.</w:t>
      </w:r>
    </w:p>
    <w:p w14:paraId="11C5AAF1" w14:textId="77777777" w:rsidR="00A30434" w:rsidRPr="00BB7497" w:rsidRDefault="00A30434" w:rsidP="005F32EF">
      <w:pPr>
        <w:pStyle w:val="BodyTextIndent"/>
        <w:widowControl w:val="0"/>
        <w:rPr>
          <w:sz w:val="22"/>
          <w:szCs w:val="22"/>
        </w:rPr>
      </w:pPr>
    </w:p>
    <w:p w14:paraId="3DA559F7" w14:textId="7C0B06D2" w:rsidR="007E2B5E" w:rsidRDefault="00A30434" w:rsidP="005F32EF">
      <w:pPr>
        <w:pStyle w:val="AbstractClauseTitle"/>
        <w:widowControl w:val="0"/>
        <w:jc w:val="left"/>
        <w:rPr>
          <w:rFonts w:ascii="Times New Roman" w:hAnsi="Times New Roman"/>
          <w:caps w:val="0"/>
          <w:sz w:val="22"/>
          <w:szCs w:val="22"/>
        </w:rPr>
      </w:pPr>
      <w:r w:rsidRPr="00A30434">
        <w:rPr>
          <w:rFonts w:ascii="Times New Roman" w:hAnsi="Times New Roman"/>
          <w:sz w:val="22"/>
          <w:szCs w:val="22"/>
        </w:rPr>
        <w:t>I</w:t>
      </w:r>
      <w:r w:rsidR="006951C5">
        <w:rPr>
          <w:rFonts w:ascii="Times New Roman" w:hAnsi="Times New Roman"/>
          <w:sz w:val="22"/>
          <w:szCs w:val="22"/>
        </w:rPr>
        <w:t>V</w:t>
      </w:r>
      <w:r w:rsidRPr="00A30434">
        <w:rPr>
          <w:rFonts w:ascii="Times New Roman" w:hAnsi="Times New Roman"/>
          <w:sz w:val="22"/>
          <w:szCs w:val="22"/>
        </w:rPr>
        <w:t xml:space="preserve">. </w:t>
      </w:r>
      <w:r w:rsidRPr="00A30434">
        <w:rPr>
          <w:rFonts w:ascii="Times New Roman" w:hAnsi="Times New Roman"/>
          <w:caps w:val="0"/>
          <w:sz w:val="22"/>
          <w:szCs w:val="22"/>
        </w:rPr>
        <w:t xml:space="preserve">Future </w:t>
      </w:r>
      <w:r w:rsidRPr="00A30434">
        <w:rPr>
          <w:rFonts w:ascii="Times New Roman" w:hAnsi="Times New Roman"/>
          <w:sz w:val="22"/>
          <w:szCs w:val="22"/>
        </w:rPr>
        <w:t xml:space="preserve">WGAMA </w:t>
      </w:r>
      <w:r>
        <w:rPr>
          <w:rFonts w:ascii="Times New Roman" w:hAnsi="Times New Roman"/>
          <w:caps w:val="0"/>
          <w:sz w:val="22"/>
          <w:szCs w:val="22"/>
        </w:rPr>
        <w:t xml:space="preserve">effort </w:t>
      </w:r>
    </w:p>
    <w:p w14:paraId="0B793366" w14:textId="1FB3AE62" w:rsidR="007E2B5E" w:rsidRPr="005F32EF" w:rsidRDefault="007E2B5E" w:rsidP="00C21323">
      <w:pPr>
        <w:pStyle w:val="BodyTextIndent"/>
        <w:rPr>
          <w:rFonts w:eastAsia="MS PMincho"/>
          <w:b/>
          <w:bCs/>
          <w:i/>
          <w:iCs/>
          <w:sz w:val="22"/>
          <w:szCs w:val="22"/>
        </w:rPr>
      </w:pPr>
      <w:r w:rsidRPr="0075476D">
        <w:rPr>
          <w:rFonts w:eastAsia="MS PMincho"/>
          <w:b/>
          <w:bCs/>
          <w:i/>
          <w:iCs/>
          <w:sz w:val="22"/>
          <w:szCs w:val="22"/>
        </w:rPr>
        <w:t>IV.</w:t>
      </w:r>
      <w:r w:rsidR="001E2A31">
        <w:rPr>
          <w:rFonts w:eastAsia="MS PMincho"/>
          <w:b/>
          <w:bCs/>
          <w:i/>
          <w:iCs/>
          <w:sz w:val="22"/>
          <w:szCs w:val="22"/>
        </w:rPr>
        <w:t>A</w:t>
      </w:r>
      <w:r w:rsidRPr="0075476D">
        <w:rPr>
          <w:rFonts w:eastAsia="MS PMincho"/>
          <w:b/>
          <w:bCs/>
          <w:i/>
          <w:iCs/>
          <w:sz w:val="22"/>
          <w:szCs w:val="22"/>
        </w:rPr>
        <w:t xml:space="preserve">. </w:t>
      </w:r>
      <w:r w:rsidR="001E2A31">
        <w:rPr>
          <w:rFonts w:eastAsia="MS PMincho"/>
          <w:b/>
          <w:bCs/>
          <w:i/>
          <w:iCs/>
          <w:sz w:val="22"/>
          <w:szCs w:val="22"/>
        </w:rPr>
        <w:t>U</w:t>
      </w:r>
      <w:r w:rsidRPr="005F32EF">
        <w:rPr>
          <w:rFonts w:eastAsia="MS PMincho"/>
          <w:b/>
          <w:bCs/>
          <w:i/>
          <w:iCs/>
          <w:sz w:val="22"/>
          <w:szCs w:val="22"/>
        </w:rPr>
        <w:t>pdate and extension</w:t>
      </w:r>
      <w:r w:rsidR="001E2A31">
        <w:rPr>
          <w:rFonts w:eastAsia="MS PMincho"/>
          <w:b/>
          <w:bCs/>
          <w:i/>
          <w:iCs/>
          <w:sz w:val="22"/>
          <w:szCs w:val="22"/>
        </w:rPr>
        <w:t xml:space="preserve"> of </w:t>
      </w:r>
      <w:r w:rsidR="001E2A31" w:rsidRPr="0075476D">
        <w:rPr>
          <w:rFonts w:eastAsia="MS PMincho"/>
          <w:b/>
          <w:bCs/>
          <w:i/>
          <w:iCs/>
          <w:sz w:val="22"/>
          <w:szCs w:val="22"/>
        </w:rPr>
        <w:t>CCVM</w:t>
      </w:r>
      <w:r w:rsidR="001E2A31">
        <w:rPr>
          <w:rFonts w:eastAsia="MS PMincho"/>
          <w:b/>
          <w:bCs/>
          <w:i/>
          <w:iCs/>
          <w:sz w:val="22"/>
          <w:szCs w:val="22"/>
        </w:rPr>
        <w:t xml:space="preserve"> (</w:t>
      </w:r>
      <w:r w:rsidRPr="005F32EF">
        <w:rPr>
          <w:rFonts w:eastAsia="MS PMincho"/>
          <w:b/>
          <w:bCs/>
          <w:i/>
          <w:iCs/>
          <w:sz w:val="22"/>
          <w:szCs w:val="22"/>
        </w:rPr>
        <w:t>CSNI Code Validation Matrix</w:t>
      </w:r>
      <w:r w:rsidR="001E2A31">
        <w:rPr>
          <w:rFonts w:eastAsia="MS PMincho"/>
          <w:b/>
          <w:bCs/>
          <w:i/>
          <w:iCs/>
          <w:sz w:val="22"/>
          <w:szCs w:val="22"/>
        </w:rPr>
        <w:t>)</w:t>
      </w:r>
    </w:p>
    <w:p w14:paraId="43B57B4A" w14:textId="51C17696" w:rsidR="007E2B5E" w:rsidRDefault="007E2B5E" w:rsidP="005F32EF">
      <w:pPr>
        <w:pStyle w:val="BodyTextIndent"/>
        <w:widowControl w:val="0"/>
        <w:ind w:firstLine="357"/>
        <w:rPr>
          <w:rFonts w:eastAsia="MS PMincho"/>
          <w:sz w:val="22"/>
          <w:szCs w:val="22"/>
        </w:rPr>
      </w:pPr>
      <w:r w:rsidRPr="00813924">
        <w:rPr>
          <w:rFonts w:eastAsia="MS PMincho"/>
          <w:sz w:val="22"/>
          <w:szCs w:val="22"/>
          <w:lang w:val="en-GB"/>
        </w:rPr>
        <w:t xml:space="preserve">The WGAMA has made a significant effort to </w:t>
      </w:r>
      <w:r w:rsidRPr="00813924">
        <w:rPr>
          <w:rFonts w:eastAsia="MS PMincho"/>
          <w:sz w:val="22"/>
          <w:szCs w:val="22"/>
          <w:lang w:val="en-GB"/>
        </w:rPr>
        <w:lastRenderedPageBreak/>
        <w:t xml:space="preserve">contribute and even promote reliable reactor safety assessment by providing code validation methods (e.g., CCVMs) and experimental data for the validation, and by enhancing the understanding of </w:t>
      </w:r>
      <w:r w:rsidR="001E2A31">
        <w:rPr>
          <w:rFonts w:eastAsia="MS PMincho"/>
          <w:sz w:val="22"/>
          <w:szCs w:val="22"/>
          <w:lang w:val="en-GB"/>
        </w:rPr>
        <w:t>various kinds of</w:t>
      </w:r>
      <w:r w:rsidR="001E2A31" w:rsidRPr="00813924">
        <w:rPr>
          <w:rFonts w:eastAsia="MS PMincho"/>
          <w:sz w:val="22"/>
          <w:szCs w:val="22"/>
          <w:lang w:val="en-GB"/>
        </w:rPr>
        <w:t xml:space="preserve"> </w:t>
      </w:r>
      <w:r w:rsidRPr="00813924">
        <w:rPr>
          <w:rFonts w:eastAsia="MS PMincho"/>
          <w:sz w:val="22"/>
          <w:szCs w:val="22"/>
          <w:lang w:val="en-GB"/>
        </w:rPr>
        <w:t xml:space="preserve">T/H phenomena that may appear during reactor accidents. </w:t>
      </w:r>
      <w:r w:rsidR="001E2A31">
        <w:rPr>
          <w:rFonts w:eastAsia="MS PMincho"/>
          <w:sz w:val="22"/>
          <w:szCs w:val="22"/>
        </w:rPr>
        <w:t xml:space="preserve">The </w:t>
      </w:r>
      <w:r w:rsidRPr="005F32EF">
        <w:rPr>
          <w:rFonts w:eastAsia="MS PMincho"/>
          <w:sz w:val="22"/>
          <w:szCs w:val="22"/>
        </w:rPr>
        <w:t>CCVM was formulated for the preparation and utilisation of well-validated T/H codes by summarising the knowledge</w:t>
      </w:r>
      <w:r w:rsidR="00316F59" w:rsidRPr="005F32EF">
        <w:rPr>
          <w:rFonts w:eastAsia="MS PMincho"/>
          <w:sz w:val="22"/>
          <w:szCs w:val="22"/>
        </w:rPr>
        <w:t xml:space="preserve"> in a form of PIRT</w:t>
      </w:r>
      <w:r w:rsidRPr="005F32EF">
        <w:rPr>
          <w:rFonts w:eastAsia="MS PMincho"/>
          <w:sz w:val="22"/>
          <w:szCs w:val="22"/>
        </w:rPr>
        <w:t xml:space="preserve"> on the characteristics (and availability) of experimental </w:t>
      </w:r>
      <w:r w:rsidR="001E2A31" w:rsidRPr="005F32EF">
        <w:rPr>
          <w:rFonts w:eastAsia="MS PMincho"/>
          <w:sz w:val="22"/>
          <w:szCs w:val="22"/>
        </w:rPr>
        <w:t>facilit</w:t>
      </w:r>
      <w:r w:rsidR="001E2A31">
        <w:rPr>
          <w:rFonts w:eastAsia="MS PMincho"/>
          <w:sz w:val="22"/>
          <w:szCs w:val="22"/>
        </w:rPr>
        <w:t>ies</w:t>
      </w:r>
      <w:r w:rsidR="001E2A31" w:rsidRPr="005F32EF">
        <w:rPr>
          <w:rFonts w:eastAsia="MS PMincho"/>
          <w:sz w:val="22"/>
          <w:szCs w:val="22"/>
        </w:rPr>
        <w:t xml:space="preserve"> </w:t>
      </w:r>
      <w:r w:rsidRPr="005F32EF">
        <w:rPr>
          <w:rFonts w:eastAsia="MS PMincho"/>
          <w:sz w:val="22"/>
          <w:szCs w:val="22"/>
        </w:rPr>
        <w:t xml:space="preserve">in terms of accident phenomena, which thus required code capabilities, with priority. </w:t>
      </w:r>
    </w:p>
    <w:p w14:paraId="2447984E" w14:textId="3B543B85" w:rsidR="007E2B5E" w:rsidRDefault="007E2B5E" w:rsidP="005F32EF">
      <w:pPr>
        <w:pStyle w:val="BodyTextIndent"/>
        <w:widowControl w:val="0"/>
        <w:ind w:firstLine="357"/>
        <w:rPr>
          <w:rFonts w:eastAsia="MS PMincho"/>
          <w:sz w:val="22"/>
          <w:szCs w:val="22"/>
        </w:rPr>
      </w:pPr>
      <w:r w:rsidRPr="005F32EF">
        <w:rPr>
          <w:rFonts w:eastAsia="MS PMincho"/>
          <w:sz w:val="22"/>
          <w:szCs w:val="22"/>
        </w:rPr>
        <w:t xml:space="preserve">The WGAMA has developed many CCVMs since 1987, from the era of PWG-2, not only for the accident phenomena that may appear in a reactor system during an accident, but also for in-vessel core degradation </w:t>
      </w:r>
      <w:r w:rsidRPr="005F32EF">
        <w:rPr>
          <w:rFonts w:eastAsia="MS PMincho"/>
          <w:sz w:val="22"/>
          <w:szCs w:val="22"/>
          <w:highlight w:val="green"/>
        </w:rPr>
        <w:t xml:space="preserve">[15 - </w:t>
      </w:r>
      <w:r>
        <w:rPr>
          <w:rFonts w:eastAsia="MS PMincho"/>
          <w:sz w:val="22"/>
          <w:szCs w:val="22"/>
          <w:highlight w:val="green"/>
        </w:rPr>
        <w:t>2</w:t>
      </w:r>
      <w:r w:rsidRPr="005F32EF">
        <w:rPr>
          <w:rFonts w:eastAsia="MS PMincho"/>
          <w:sz w:val="22"/>
          <w:szCs w:val="22"/>
          <w:highlight w:val="green"/>
        </w:rPr>
        <w:t>3].</w:t>
      </w:r>
      <w:r w:rsidRPr="005F32EF">
        <w:rPr>
          <w:rFonts w:eastAsia="MS PMincho"/>
          <w:sz w:val="22"/>
          <w:szCs w:val="22"/>
        </w:rPr>
        <w:t xml:space="preserve"> Related experimental data are given through the NEA Data Bank for the </w:t>
      </w:r>
      <w:r w:rsidR="001D3F6B">
        <w:rPr>
          <w:rFonts w:eastAsia="MS PMincho"/>
          <w:sz w:val="22"/>
          <w:szCs w:val="22"/>
        </w:rPr>
        <w:t>SET</w:t>
      </w:r>
      <w:r w:rsidRPr="005F32EF">
        <w:rPr>
          <w:rFonts w:eastAsia="MS PMincho"/>
          <w:sz w:val="22"/>
          <w:szCs w:val="22"/>
        </w:rPr>
        <w:t xml:space="preserve"> and </w:t>
      </w:r>
      <w:r w:rsidR="001D3F6B">
        <w:rPr>
          <w:rFonts w:eastAsia="MS PMincho"/>
          <w:sz w:val="22"/>
          <w:szCs w:val="22"/>
        </w:rPr>
        <w:t>IET</w:t>
      </w:r>
      <w:r w:rsidRPr="005F32EF">
        <w:rPr>
          <w:rFonts w:eastAsia="MS PMincho"/>
          <w:sz w:val="22"/>
          <w:szCs w:val="22"/>
        </w:rPr>
        <w:t xml:space="preserve"> data </w:t>
      </w:r>
      <w:r w:rsidRPr="005F32EF">
        <w:rPr>
          <w:rFonts w:eastAsia="MS PMincho"/>
          <w:sz w:val="22"/>
          <w:szCs w:val="22"/>
          <w:highlight w:val="green"/>
        </w:rPr>
        <w:t>[</w:t>
      </w:r>
      <w:r w:rsidR="001D3F6B">
        <w:rPr>
          <w:rFonts w:eastAsia="MS PMincho"/>
          <w:sz w:val="22"/>
          <w:szCs w:val="22"/>
          <w:highlight w:val="green"/>
        </w:rPr>
        <w:t xml:space="preserve">24, </w:t>
      </w:r>
      <w:r w:rsidRPr="005F32EF">
        <w:rPr>
          <w:rFonts w:eastAsia="MS PMincho"/>
          <w:sz w:val="22"/>
          <w:szCs w:val="22"/>
          <w:highlight w:val="green"/>
        </w:rPr>
        <w:t>25].</w:t>
      </w:r>
    </w:p>
    <w:p w14:paraId="69AABAAE" w14:textId="05DA5FC6" w:rsidR="007E2B5E" w:rsidRDefault="007E2B5E" w:rsidP="005F32EF">
      <w:pPr>
        <w:pStyle w:val="BodyTextIndent"/>
        <w:widowControl w:val="0"/>
        <w:ind w:firstLine="357"/>
        <w:rPr>
          <w:rFonts w:eastAsia="MS PMincho"/>
          <w:sz w:val="22"/>
          <w:szCs w:val="22"/>
          <w:lang w:val="en-GB"/>
        </w:rPr>
      </w:pPr>
      <w:r>
        <w:rPr>
          <w:rFonts w:eastAsia="MS PMincho"/>
          <w:sz w:val="22"/>
          <w:szCs w:val="22"/>
          <w:lang w:val="en-GB"/>
        </w:rPr>
        <w:t>T</w:t>
      </w:r>
      <w:r w:rsidRPr="00813924">
        <w:rPr>
          <w:rFonts w:eastAsia="MS PMincho"/>
          <w:sz w:val="22"/>
          <w:szCs w:val="22"/>
          <w:lang w:val="en-GB"/>
        </w:rPr>
        <w:t xml:space="preserve">he review and update of the past established CCVMs </w:t>
      </w:r>
      <w:r w:rsidR="001D3F6B">
        <w:rPr>
          <w:rFonts w:eastAsia="MS PMincho"/>
          <w:sz w:val="22"/>
          <w:szCs w:val="22"/>
          <w:lang w:val="en-GB"/>
        </w:rPr>
        <w:t>is under planning</w:t>
      </w:r>
      <w:r w:rsidRPr="00813924">
        <w:rPr>
          <w:rFonts w:eastAsia="MS PMincho"/>
          <w:sz w:val="22"/>
          <w:szCs w:val="22"/>
          <w:lang w:val="en-GB"/>
        </w:rPr>
        <w:t xml:space="preserve"> in response to the recent updating of models and correlations employed in the </w:t>
      </w:r>
      <w:r>
        <w:rPr>
          <w:rFonts w:eastAsia="MS PMincho"/>
          <w:sz w:val="22"/>
          <w:szCs w:val="22"/>
          <w:lang w:val="en-GB"/>
        </w:rPr>
        <w:t xml:space="preserve">computer codes for safety </w:t>
      </w:r>
      <w:r w:rsidR="001D3F6B">
        <w:rPr>
          <w:rFonts w:eastAsia="MS PMincho"/>
          <w:sz w:val="22"/>
          <w:szCs w:val="22"/>
          <w:lang w:val="en-GB"/>
        </w:rPr>
        <w:t>analyses</w:t>
      </w:r>
      <w:r w:rsidRPr="00813924">
        <w:rPr>
          <w:rFonts w:eastAsia="MS PMincho"/>
          <w:sz w:val="22"/>
          <w:szCs w:val="22"/>
          <w:lang w:val="en-GB"/>
        </w:rPr>
        <w:t xml:space="preserve">. </w:t>
      </w:r>
      <w:r>
        <w:rPr>
          <w:rFonts w:eastAsia="MS PMincho"/>
          <w:sz w:val="22"/>
          <w:szCs w:val="22"/>
          <w:lang w:val="en-GB"/>
        </w:rPr>
        <w:t>Furthermore, t</w:t>
      </w:r>
      <w:r w:rsidRPr="00813924">
        <w:rPr>
          <w:rFonts w:eastAsia="MS PMincho"/>
          <w:sz w:val="22"/>
          <w:szCs w:val="22"/>
          <w:lang w:val="en-GB"/>
        </w:rPr>
        <w:t xml:space="preserve">he safety assessment of advanced reactors requires precise representation of all new features in the accident phenomena. The CCVMs may need further harmonization and updating in response to such requirements to firmly confirm the applicability of the </w:t>
      </w:r>
      <w:r>
        <w:rPr>
          <w:rFonts w:eastAsia="MS PMincho"/>
          <w:sz w:val="22"/>
          <w:szCs w:val="22"/>
          <w:lang w:val="en-GB"/>
        </w:rPr>
        <w:t>computer codes</w:t>
      </w:r>
      <w:r w:rsidRPr="00813924">
        <w:rPr>
          <w:rFonts w:eastAsia="MS PMincho"/>
          <w:sz w:val="22"/>
          <w:szCs w:val="22"/>
          <w:lang w:val="en-GB"/>
        </w:rPr>
        <w:t xml:space="preserve"> to the safety assessment of the advanced reactor design of interest.</w:t>
      </w:r>
    </w:p>
    <w:p w14:paraId="3C4D22D7" w14:textId="77777777" w:rsidR="001E2A31" w:rsidRPr="005F32EF" w:rsidRDefault="001E2A31" w:rsidP="005F32EF">
      <w:pPr>
        <w:pStyle w:val="BodyTextIndent"/>
        <w:widowControl w:val="0"/>
        <w:ind w:firstLine="357"/>
        <w:rPr>
          <w:rFonts w:eastAsia="MS PMincho"/>
          <w:sz w:val="22"/>
          <w:szCs w:val="22"/>
          <w:lang w:val="en-GB"/>
        </w:rPr>
      </w:pPr>
    </w:p>
    <w:p w14:paraId="26BF41B2" w14:textId="2598D106" w:rsidR="001E2A31" w:rsidRPr="005F32EF" w:rsidRDefault="001E2A31" w:rsidP="001E2A31">
      <w:pPr>
        <w:pStyle w:val="BodyTextIndent"/>
        <w:jc w:val="left"/>
        <w:rPr>
          <w:rFonts w:eastAsia="MS PMincho"/>
          <w:bCs/>
          <w:i/>
          <w:iCs/>
          <w:caps/>
          <w:sz w:val="22"/>
          <w:szCs w:val="22"/>
        </w:rPr>
      </w:pPr>
      <w:r>
        <w:rPr>
          <w:rFonts w:eastAsia="MS PMincho"/>
          <w:b/>
          <w:bCs/>
          <w:i/>
          <w:iCs/>
          <w:sz w:val="22"/>
          <w:szCs w:val="22"/>
        </w:rPr>
        <w:t>IV.B. K</w:t>
      </w:r>
      <w:r w:rsidRPr="005F32EF">
        <w:rPr>
          <w:rFonts w:eastAsia="MS PMincho"/>
          <w:b/>
          <w:bCs/>
          <w:i/>
          <w:iCs/>
          <w:sz w:val="22"/>
          <w:szCs w:val="22"/>
        </w:rPr>
        <w:t xml:space="preserve">nowledge transfer: THICKET </w:t>
      </w:r>
    </w:p>
    <w:p w14:paraId="73590B1D" w14:textId="33CF67DC" w:rsidR="001E2A31" w:rsidRPr="00A30434" w:rsidRDefault="001E2A31" w:rsidP="00C21323">
      <w:pPr>
        <w:pStyle w:val="BodyTextIndent"/>
        <w:widowControl w:val="0"/>
        <w:rPr>
          <w:sz w:val="22"/>
          <w:szCs w:val="22"/>
        </w:rPr>
      </w:pPr>
      <w:r>
        <w:rPr>
          <w:sz w:val="22"/>
          <w:szCs w:val="22"/>
        </w:rPr>
        <w:t>T</w:t>
      </w:r>
      <w:r w:rsidR="001D3F6B">
        <w:rPr>
          <w:sz w:val="22"/>
          <w:szCs w:val="22"/>
        </w:rPr>
        <w:t xml:space="preserve">he </w:t>
      </w:r>
      <w:r w:rsidRPr="00A30434">
        <w:rPr>
          <w:sz w:val="22"/>
          <w:szCs w:val="22"/>
        </w:rPr>
        <w:t xml:space="preserve">Seminar on Transfer of Competence, Knowledge and Experience Gained through CSNI Activities in </w:t>
      </w:r>
      <w:r>
        <w:rPr>
          <w:sz w:val="22"/>
          <w:szCs w:val="22"/>
        </w:rPr>
        <w:t>T/H</w:t>
      </w:r>
      <w:r w:rsidRPr="00A30434">
        <w:rPr>
          <w:sz w:val="22"/>
          <w:szCs w:val="22"/>
        </w:rPr>
        <w:t xml:space="preserve"> Field</w:t>
      </w:r>
      <w:r w:rsidR="001D3F6B">
        <w:rPr>
          <w:sz w:val="22"/>
          <w:szCs w:val="22"/>
        </w:rPr>
        <w:t xml:space="preserve"> (THICKET)</w:t>
      </w:r>
      <w:r>
        <w:rPr>
          <w:sz w:val="22"/>
          <w:szCs w:val="22"/>
        </w:rPr>
        <w:t xml:space="preserve">, </w:t>
      </w:r>
      <w:r w:rsidR="001D3F6B">
        <w:rPr>
          <w:sz w:val="22"/>
          <w:szCs w:val="22"/>
        </w:rPr>
        <w:t>is aimed</w:t>
      </w:r>
      <w:r>
        <w:rPr>
          <w:sz w:val="22"/>
          <w:szCs w:val="22"/>
        </w:rPr>
        <w:t xml:space="preserve"> to </w:t>
      </w:r>
      <w:r w:rsidRPr="00A30434">
        <w:rPr>
          <w:sz w:val="22"/>
          <w:szCs w:val="22"/>
        </w:rPr>
        <w:t xml:space="preserve">disseminate </w:t>
      </w:r>
      <w:r>
        <w:rPr>
          <w:sz w:val="22"/>
          <w:szCs w:val="22"/>
        </w:rPr>
        <w:t>the T/H</w:t>
      </w:r>
      <w:r w:rsidRPr="00A30434">
        <w:rPr>
          <w:sz w:val="22"/>
          <w:szCs w:val="22"/>
        </w:rPr>
        <w:t xml:space="preserve"> knowledge, competence, and experience acquired through CSNI activities during the last three decades to newcomers in the </w:t>
      </w:r>
      <w:r>
        <w:rPr>
          <w:sz w:val="22"/>
          <w:szCs w:val="22"/>
        </w:rPr>
        <w:t>nuclear sector. A</w:t>
      </w:r>
      <w:r w:rsidRPr="00A30434">
        <w:rPr>
          <w:sz w:val="22"/>
          <w:szCs w:val="22"/>
        </w:rPr>
        <w:t xml:space="preserve"> </w:t>
      </w:r>
      <w:r>
        <w:rPr>
          <w:sz w:val="22"/>
          <w:szCs w:val="22"/>
        </w:rPr>
        <w:t xml:space="preserve">series of </w:t>
      </w:r>
      <w:r w:rsidRPr="00A30434">
        <w:rPr>
          <w:sz w:val="22"/>
          <w:szCs w:val="22"/>
        </w:rPr>
        <w:t>seminar</w:t>
      </w:r>
      <w:r>
        <w:rPr>
          <w:sz w:val="22"/>
          <w:szCs w:val="22"/>
        </w:rPr>
        <w:t>s</w:t>
      </w:r>
      <w:r w:rsidRPr="00A30434">
        <w:rPr>
          <w:sz w:val="22"/>
          <w:szCs w:val="22"/>
        </w:rPr>
        <w:t xml:space="preserve"> </w:t>
      </w:r>
      <w:r>
        <w:rPr>
          <w:sz w:val="22"/>
          <w:szCs w:val="22"/>
        </w:rPr>
        <w:t xml:space="preserve">has </w:t>
      </w:r>
      <w:r w:rsidR="001D3F6B">
        <w:rPr>
          <w:sz w:val="22"/>
          <w:szCs w:val="22"/>
        </w:rPr>
        <w:t xml:space="preserve">thus </w:t>
      </w:r>
      <w:r>
        <w:rPr>
          <w:sz w:val="22"/>
          <w:szCs w:val="22"/>
        </w:rPr>
        <w:t xml:space="preserve">been organized </w:t>
      </w:r>
      <w:r w:rsidRPr="00A30434">
        <w:rPr>
          <w:sz w:val="22"/>
          <w:szCs w:val="22"/>
        </w:rPr>
        <w:t>to transfer implicit, explicit and tacit knowledge and experience acquired by senior experts who have contributed substantially to current activities of the</w:t>
      </w:r>
      <w:r>
        <w:rPr>
          <w:sz w:val="22"/>
          <w:szCs w:val="22"/>
        </w:rPr>
        <w:t xml:space="preserve"> CSNI. </w:t>
      </w:r>
      <w:r w:rsidRPr="00A30434">
        <w:rPr>
          <w:sz w:val="22"/>
          <w:szCs w:val="22"/>
        </w:rPr>
        <w:t xml:space="preserve">The </w:t>
      </w:r>
      <w:r>
        <w:rPr>
          <w:sz w:val="22"/>
          <w:szCs w:val="22"/>
        </w:rPr>
        <w:t xml:space="preserve">next </w:t>
      </w:r>
      <w:r w:rsidRPr="00A30434">
        <w:rPr>
          <w:sz w:val="22"/>
          <w:szCs w:val="22"/>
        </w:rPr>
        <w:t xml:space="preserve">seminar will </w:t>
      </w:r>
      <w:r>
        <w:rPr>
          <w:sz w:val="22"/>
          <w:szCs w:val="22"/>
        </w:rPr>
        <w:t xml:space="preserve">be </w:t>
      </w:r>
      <w:r w:rsidRPr="00A30434">
        <w:rPr>
          <w:sz w:val="22"/>
          <w:szCs w:val="22"/>
        </w:rPr>
        <w:t>organiz</w:t>
      </w:r>
      <w:r>
        <w:rPr>
          <w:sz w:val="22"/>
          <w:szCs w:val="22"/>
        </w:rPr>
        <w:t>ed</w:t>
      </w:r>
      <w:r w:rsidRPr="00A30434">
        <w:rPr>
          <w:sz w:val="22"/>
          <w:szCs w:val="22"/>
        </w:rPr>
        <w:t xml:space="preserve"> </w:t>
      </w:r>
      <w:r>
        <w:rPr>
          <w:sz w:val="22"/>
          <w:szCs w:val="22"/>
        </w:rPr>
        <w:t>over</w:t>
      </w:r>
      <w:r w:rsidRPr="00A30434">
        <w:rPr>
          <w:sz w:val="22"/>
          <w:szCs w:val="22"/>
        </w:rPr>
        <w:t xml:space="preserve"> the experience gained from </w:t>
      </w:r>
      <w:r>
        <w:rPr>
          <w:sz w:val="22"/>
          <w:szCs w:val="22"/>
        </w:rPr>
        <w:t xml:space="preserve">the </w:t>
      </w:r>
      <w:r w:rsidRPr="00A30434">
        <w:rPr>
          <w:sz w:val="22"/>
          <w:szCs w:val="22"/>
        </w:rPr>
        <w:t>past seminars conducted at Saclay (2004, France), Pisa (2008, Italy), Paris (2012, France), and Budapest (2016, Hungary)</w:t>
      </w:r>
      <w:r w:rsidR="001D3F6B">
        <w:rPr>
          <w:sz w:val="22"/>
          <w:szCs w:val="22"/>
        </w:rPr>
        <w:t>, each</w:t>
      </w:r>
      <w:r w:rsidRPr="00A30434">
        <w:rPr>
          <w:sz w:val="22"/>
          <w:szCs w:val="22"/>
        </w:rPr>
        <w:t xml:space="preserve"> with over 30 participants. </w:t>
      </w:r>
      <w:r>
        <w:rPr>
          <w:sz w:val="22"/>
          <w:szCs w:val="22"/>
        </w:rPr>
        <w:t xml:space="preserve">The seminar is extended to </w:t>
      </w:r>
      <w:r w:rsidR="00CD2665">
        <w:rPr>
          <w:sz w:val="22"/>
          <w:szCs w:val="22"/>
        </w:rPr>
        <w:t xml:space="preserve">the </w:t>
      </w:r>
      <w:r>
        <w:rPr>
          <w:sz w:val="22"/>
          <w:szCs w:val="22"/>
        </w:rPr>
        <w:t xml:space="preserve">WGAMA </w:t>
      </w:r>
      <w:r w:rsidRPr="00A30434">
        <w:rPr>
          <w:sz w:val="22"/>
          <w:szCs w:val="22"/>
        </w:rPr>
        <w:t xml:space="preserve">contributions </w:t>
      </w:r>
      <w:r w:rsidR="00CD2665">
        <w:rPr>
          <w:sz w:val="22"/>
          <w:szCs w:val="22"/>
        </w:rPr>
        <w:t>in the field of</w:t>
      </w:r>
      <w:r w:rsidRPr="00A30434">
        <w:rPr>
          <w:sz w:val="22"/>
          <w:szCs w:val="22"/>
        </w:rPr>
        <w:t xml:space="preserve"> </w:t>
      </w:r>
      <w:r>
        <w:rPr>
          <w:sz w:val="22"/>
          <w:szCs w:val="22"/>
        </w:rPr>
        <w:t>SA</w:t>
      </w:r>
      <w:r w:rsidRPr="00A30434">
        <w:rPr>
          <w:sz w:val="22"/>
          <w:szCs w:val="22"/>
        </w:rPr>
        <w:t xml:space="preserve">. </w:t>
      </w:r>
    </w:p>
    <w:p w14:paraId="3A0C3BA4" w14:textId="77777777" w:rsidR="001E2A31" w:rsidRDefault="001E2A31" w:rsidP="001E2A31">
      <w:pPr>
        <w:pStyle w:val="BodyTextIndent"/>
        <w:widowControl w:val="0"/>
        <w:ind w:firstLine="357"/>
        <w:rPr>
          <w:sz w:val="22"/>
          <w:szCs w:val="22"/>
        </w:rPr>
      </w:pPr>
      <w:r w:rsidRPr="00A30434">
        <w:rPr>
          <w:sz w:val="22"/>
          <w:szCs w:val="22"/>
        </w:rPr>
        <w:t xml:space="preserve">The format of the seminar will make use of a combination of lectures from the past four seminars, with emphasis on nuclear safety in </w:t>
      </w:r>
      <w:r>
        <w:rPr>
          <w:sz w:val="22"/>
          <w:szCs w:val="22"/>
        </w:rPr>
        <w:t>T/H</w:t>
      </w:r>
      <w:r w:rsidRPr="00A30434">
        <w:rPr>
          <w:sz w:val="22"/>
          <w:szCs w:val="22"/>
        </w:rPr>
        <w:t xml:space="preserve">s and </w:t>
      </w:r>
      <w:r>
        <w:rPr>
          <w:sz w:val="22"/>
          <w:szCs w:val="22"/>
        </w:rPr>
        <w:t>SA</w:t>
      </w:r>
      <w:r w:rsidRPr="00A30434">
        <w:rPr>
          <w:sz w:val="22"/>
          <w:szCs w:val="22"/>
        </w:rPr>
        <w:t xml:space="preserve"> area on key activities such as ISPs, CCVMs, SOARs, SEG </w:t>
      </w:r>
      <w:r w:rsidRPr="00A30434">
        <w:rPr>
          <w:sz w:val="22"/>
          <w:szCs w:val="22"/>
        </w:rPr>
        <w:t xml:space="preserve">reports, TOPs, code </w:t>
      </w:r>
      <w:r>
        <w:rPr>
          <w:sz w:val="22"/>
          <w:szCs w:val="22"/>
        </w:rPr>
        <w:t>V&amp;V</w:t>
      </w:r>
      <w:r w:rsidRPr="00A30434">
        <w:rPr>
          <w:sz w:val="22"/>
          <w:szCs w:val="22"/>
        </w:rPr>
        <w:t xml:space="preserve">, user effect, scaling, uncertainties, source term, fuel degradation, melt behaviors including MCCI and FCI, and long term management. The emphasis will be given to recent and priority activities including WGAMA-relevant NEA </w:t>
      </w:r>
      <w:r>
        <w:rPr>
          <w:sz w:val="22"/>
          <w:szCs w:val="22"/>
        </w:rPr>
        <w:t>JPs</w:t>
      </w:r>
      <w:r w:rsidRPr="00A30434">
        <w:rPr>
          <w:sz w:val="22"/>
          <w:szCs w:val="22"/>
        </w:rPr>
        <w:t>. Collaborative effort with CSNI WGFS is foreseen to deepen understanding on fuel behavior under reactor accidents including latest-design fuel</w:t>
      </w:r>
      <w:r>
        <w:rPr>
          <w:sz w:val="22"/>
          <w:szCs w:val="22"/>
        </w:rPr>
        <w:t>s</w:t>
      </w:r>
      <w:r w:rsidRPr="00A30434">
        <w:rPr>
          <w:sz w:val="22"/>
          <w:szCs w:val="22"/>
        </w:rPr>
        <w:t>. Application of safety-relevant findings to the design of non-water cooled reactors will also be addressed.</w:t>
      </w:r>
    </w:p>
    <w:p w14:paraId="0B53DE25" w14:textId="77777777" w:rsidR="007E2B5E" w:rsidRDefault="007E2B5E" w:rsidP="005F32EF">
      <w:pPr>
        <w:pStyle w:val="AbstractClauseTitle"/>
        <w:widowControl w:val="0"/>
        <w:jc w:val="left"/>
        <w:rPr>
          <w:rFonts w:ascii="Times New Roman" w:hAnsi="Times New Roman"/>
          <w:caps w:val="0"/>
          <w:sz w:val="22"/>
          <w:szCs w:val="22"/>
          <w:lang w:val="en-GB"/>
        </w:rPr>
      </w:pPr>
    </w:p>
    <w:p w14:paraId="0397F826" w14:textId="451C0E40" w:rsidR="00781B6A" w:rsidRPr="00F10D31" w:rsidRDefault="00D40DF4" w:rsidP="00C21323">
      <w:pPr>
        <w:pStyle w:val="AbstractClauseTitle"/>
        <w:widowControl w:val="0"/>
        <w:rPr>
          <w:rFonts w:ascii="Times New Roman" w:hAnsi="Times New Roman"/>
          <w:caps w:val="0"/>
          <w:sz w:val="22"/>
          <w:szCs w:val="22"/>
        </w:rPr>
      </w:pPr>
      <w:r w:rsidRPr="00D40DF4">
        <w:rPr>
          <w:rFonts w:ascii="Times New Roman" w:hAnsi="Times New Roman"/>
          <w:caps w:val="0"/>
          <w:sz w:val="22"/>
          <w:szCs w:val="22"/>
        </w:rPr>
        <w:t>V</w:t>
      </w:r>
      <w:r w:rsidR="00781B6A" w:rsidRPr="00D40DF4">
        <w:rPr>
          <w:rFonts w:ascii="Times New Roman" w:hAnsi="Times New Roman"/>
          <w:caps w:val="0"/>
          <w:sz w:val="22"/>
          <w:szCs w:val="22"/>
        </w:rPr>
        <w:t xml:space="preserve">. </w:t>
      </w:r>
      <w:r w:rsidR="00EC2E96" w:rsidRPr="00D40DF4">
        <w:rPr>
          <w:rFonts w:ascii="Times New Roman" w:hAnsi="Times New Roman"/>
          <w:caps w:val="0"/>
          <w:sz w:val="22"/>
          <w:szCs w:val="22"/>
        </w:rPr>
        <w:t>NEA Joint Safety Research Projects (JPs</w:t>
      </w:r>
      <w:r w:rsidR="00EC2E96" w:rsidRPr="00F10D31">
        <w:rPr>
          <w:rFonts w:ascii="Times New Roman" w:hAnsi="Times New Roman"/>
          <w:caps w:val="0"/>
          <w:sz w:val="22"/>
          <w:szCs w:val="22"/>
        </w:rPr>
        <w:t>)</w:t>
      </w:r>
      <w:r w:rsidR="001A068C" w:rsidRPr="005F32EF">
        <w:rPr>
          <w:rFonts w:ascii="Times New Roman" w:hAnsi="Times New Roman"/>
          <w:bCs/>
          <w:sz w:val="22"/>
          <w:szCs w:val="22"/>
          <w:highlight w:val="green"/>
        </w:rPr>
        <w:t xml:space="preserve"> [</w:t>
      </w:r>
      <w:r w:rsidR="007E2B5E">
        <w:rPr>
          <w:rFonts w:ascii="Times New Roman" w:hAnsi="Times New Roman"/>
          <w:bCs/>
          <w:sz w:val="22"/>
          <w:szCs w:val="22"/>
          <w:highlight w:val="green"/>
        </w:rPr>
        <w:t>26</w:t>
      </w:r>
      <w:r w:rsidR="001A068C" w:rsidRPr="005F32EF">
        <w:rPr>
          <w:rFonts w:ascii="Times New Roman" w:hAnsi="Times New Roman"/>
          <w:bCs/>
          <w:sz w:val="22"/>
          <w:szCs w:val="22"/>
          <w:highlight w:val="green"/>
        </w:rPr>
        <w:t>]</w:t>
      </w:r>
    </w:p>
    <w:p w14:paraId="7E16DD2A" w14:textId="41308DA6" w:rsidR="009F7DFD" w:rsidRPr="009F7DFD" w:rsidRDefault="009F7DFD" w:rsidP="005F32EF">
      <w:pPr>
        <w:pStyle w:val="BodyTextIndent"/>
        <w:widowControl w:val="0"/>
        <w:rPr>
          <w:sz w:val="22"/>
          <w:szCs w:val="22"/>
        </w:rPr>
      </w:pPr>
      <w:r w:rsidRPr="009F7DFD">
        <w:rPr>
          <w:sz w:val="22"/>
          <w:szCs w:val="22"/>
        </w:rPr>
        <w:t xml:space="preserve">One of the major achievements of the NEA is the knowledge it has helped to generate through the </w:t>
      </w:r>
      <w:r w:rsidR="00684383" w:rsidRPr="009F7DFD">
        <w:rPr>
          <w:sz w:val="22"/>
          <w:szCs w:val="22"/>
        </w:rPr>
        <w:t>organization</w:t>
      </w:r>
      <w:r w:rsidRPr="009F7DFD">
        <w:rPr>
          <w:sz w:val="22"/>
          <w:szCs w:val="22"/>
        </w:rPr>
        <w:t xml:space="preserve"> of joint international research projects</w:t>
      </w:r>
      <w:r w:rsidR="004914A9">
        <w:rPr>
          <w:sz w:val="22"/>
          <w:szCs w:val="22"/>
        </w:rPr>
        <w:t xml:space="preserve"> (JPs)</w:t>
      </w:r>
      <w:r w:rsidRPr="009F7DFD">
        <w:rPr>
          <w:sz w:val="22"/>
          <w:szCs w:val="22"/>
        </w:rPr>
        <w:t xml:space="preserve">. Such </w:t>
      </w:r>
      <w:r w:rsidR="004914A9">
        <w:rPr>
          <w:sz w:val="22"/>
          <w:szCs w:val="22"/>
        </w:rPr>
        <w:t>JP</w:t>
      </w:r>
      <w:r w:rsidR="004914A9" w:rsidRPr="009F7DFD">
        <w:rPr>
          <w:sz w:val="22"/>
          <w:szCs w:val="22"/>
        </w:rPr>
        <w:t>s</w:t>
      </w:r>
      <w:r w:rsidRPr="009F7DFD">
        <w:rPr>
          <w:sz w:val="22"/>
          <w:szCs w:val="22"/>
        </w:rPr>
        <w:t>, primarily in the area of nuclear safety, enable interested countries, on a cost-sharing basis, to pursue research or the sharing of data with respect to areas or issues of high nuclear safety relevance.</w:t>
      </w:r>
    </w:p>
    <w:p w14:paraId="0F0C6AE6" w14:textId="7EB701E7" w:rsidR="009F7DFD" w:rsidRPr="009F7DFD" w:rsidRDefault="009F7DFD" w:rsidP="005F32EF">
      <w:pPr>
        <w:pStyle w:val="BodyTextIndent"/>
        <w:widowControl w:val="0"/>
        <w:rPr>
          <w:sz w:val="22"/>
          <w:szCs w:val="22"/>
        </w:rPr>
      </w:pPr>
      <w:r w:rsidRPr="009F7DFD">
        <w:rPr>
          <w:sz w:val="22"/>
          <w:szCs w:val="22"/>
        </w:rPr>
        <w:t xml:space="preserve">The primary motivation for </w:t>
      </w:r>
      <w:r w:rsidR="004914A9">
        <w:rPr>
          <w:sz w:val="22"/>
          <w:szCs w:val="22"/>
        </w:rPr>
        <w:t>the JPs</w:t>
      </w:r>
      <w:r w:rsidRPr="009F7DFD">
        <w:rPr>
          <w:sz w:val="22"/>
          <w:szCs w:val="22"/>
        </w:rPr>
        <w:t xml:space="preserve"> is to support the safe operation of nuclear installations. Typical safety research projects include:</w:t>
      </w:r>
    </w:p>
    <w:p w14:paraId="0C62FFC8" w14:textId="31065D9F" w:rsidR="009F7DFD" w:rsidRPr="009F7DFD" w:rsidRDefault="009F7DFD" w:rsidP="005F32EF">
      <w:pPr>
        <w:pStyle w:val="BodyTextIndent"/>
        <w:widowControl w:val="0"/>
        <w:numPr>
          <w:ilvl w:val="0"/>
          <w:numId w:val="6"/>
        </w:numPr>
        <w:ind w:left="567"/>
        <w:rPr>
          <w:sz w:val="22"/>
          <w:szCs w:val="22"/>
        </w:rPr>
      </w:pPr>
      <w:r w:rsidRPr="009F7DFD">
        <w:rPr>
          <w:sz w:val="22"/>
          <w:szCs w:val="22"/>
        </w:rPr>
        <w:t>The conduct of set</w:t>
      </w:r>
      <w:r w:rsidR="0043631B">
        <w:rPr>
          <w:sz w:val="22"/>
          <w:szCs w:val="22"/>
        </w:rPr>
        <w:t>s</w:t>
      </w:r>
      <w:r w:rsidRPr="009F7DFD">
        <w:rPr>
          <w:sz w:val="22"/>
          <w:szCs w:val="22"/>
        </w:rPr>
        <w:t xml:space="preserve"> of experiments that address safety knowledge gap</w:t>
      </w:r>
      <w:r w:rsidR="0043631B">
        <w:rPr>
          <w:sz w:val="22"/>
          <w:szCs w:val="22"/>
        </w:rPr>
        <w:t>s</w:t>
      </w:r>
      <w:r w:rsidRPr="009F7DFD">
        <w:rPr>
          <w:sz w:val="22"/>
          <w:szCs w:val="22"/>
        </w:rPr>
        <w:t>;</w:t>
      </w:r>
    </w:p>
    <w:p w14:paraId="4CFB4803" w14:textId="05F173EE" w:rsidR="009F7DFD" w:rsidRPr="009F7DFD" w:rsidRDefault="009F7DFD" w:rsidP="005F32EF">
      <w:pPr>
        <w:pStyle w:val="BodyTextIndent"/>
        <w:widowControl w:val="0"/>
        <w:numPr>
          <w:ilvl w:val="0"/>
          <w:numId w:val="6"/>
        </w:numPr>
        <w:ind w:left="567"/>
        <w:rPr>
          <w:sz w:val="22"/>
          <w:szCs w:val="22"/>
        </w:rPr>
      </w:pPr>
      <w:r w:rsidRPr="009F7DFD">
        <w:rPr>
          <w:sz w:val="22"/>
          <w:szCs w:val="22"/>
        </w:rPr>
        <w:t>The creation and maintenance of shared database</w:t>
      </w:r>
      <w:r w:rsidR="0043631B">
        <w:rPr>
          <w:sz w:val="22"/>
          <w:szCs w:val="22"/>
        </w:rPr>
        <w:t>s</w:t>
      </w:r>
      <w:r w:rsidRPr="009F7DFD">
        <w:rPr>
          <w:sz w:val="22"/>
          <w:szCs w:val="22"/>
        </w:rPr>
        <w:t xml:space="preserve"> of operating experience that can be used to identify </w:t>
      </w:r>
      <w:r w:rsidR="0043631B">
        <w:rPr>
          <w:sz w:val="22"/>
          <w:szCs w:val="22"/>
        </w:rPr>
        <w:t>areas for enhancement</w:t>
      </w:r>
      <w:r w:rsidRPr="009F7DFD">
        <w:rPr>
          <w:sz w:val="22"/>
          <w:szCs w:val="22"/>
        </w:rPr>
        <w:t xml:space="preserve"> and good </w:t>
      </w:r>
      <w:r w:rsidR="00684383" w:rsidRPr="009F7DFD">
        <w:rPr>
          <w:sz w:val="22"/>
          <w:szCs w:val="22"/>
        </w:rPr>
        <w:t>practices</w:t>
      </w:r>
      <w:r w:rsidRPr="009F7DFD">
        <w:rPr>
          <w:sz w:val="22"/>
          <w:szCs w:val="22"/>
        </w:rPr>
        <w:t>; or</w:t>
      </w:r>
    </w:p>
    <w:p w14:paraId="5F06894F" w14:textId="77777777" w:rsidR="009F7DFD" w:rsidRPr="009F7DFD" w:rsidRDefault="009F7DFD" w:rsidP="005F32EF">
      <w:pPr>
        <w:pStyle w:val="BodyTextIndent"/>
        <w:widowControl w:val="0"/>
        <w:numPr>
          <w:ilvl w:val="0"/>
          <w:numId w:val="6"/>
        </w:numPr>
        <w:ind w:left="567"/>
        <w:rPr>
          <w:sz w:val="22"/>
          <w:szCs w:val="22"/>
        </w:rPr>
      </w:pPr>
      <w:r w:rsidRPr="009F7DFD">
        <w:rPr>
          <w:sz w:val="22"/>
          <w:szCs w:val="22"/>
        </w:rPr>
        <w:t>The exchange of experimental information and modelling results to better understand safety-related phenomenology.</w:t>
      </w:r>
    </w:p>
    <w:p w14:paraId="690FE29D" w14:textId="68A0273D" w:rsidR="00781B6A" w:rsidRPr="00F10D31" w:rsidRDefault="009F7DFD" w:rsidP="001D3F6B">
      <w:pPr>
        <w:pStyle w:val="BodyTextIndent"/>
        <w:widowControl w:val="0"/>
      </w:pPr>
      <w:r w:rsidRPr="009F7DFD">
        <w:rPr>
          <w:sz w:val="22"/>
          <w:szCs w:val="22"/>
        </w:rPr>
        <w:t>These J</w:t>
      </w:r>
      <w:r w:rsidR="004D60AD">
        <w:rPr>
          <w:sz w:val="22"/>
          <w:szCs w:val="22"/>
        </w:rPr>
        <w:t>P</w:t>
      </w:r>
      <w:r w:rsidRPr="009F7DFD">
        <w:rPr>
          <w:sz w:val="22"/>
          <w:szCs w:val="22"/>
        </w:rPr>
        <w:t>s, w</w:t>
      </w:r>
      <w:r w:rsidR="00684383">
        <w:rPr>
          <w:sz w:val="22"/>
          <w:szCs w:val="22"/>
        </w:rPr>
        <w:t>hile distinct from the program</w:t>
      </w:r>
      <w:r w:rsidRPr="009F7DFD">
        <w:rPr>
          <w:sz w:val="22"/>
          <w:szCs w:val="22"/>
        </w:rPr>
        <w:t xml:space="preserve"> of work executed through the NEA Standing Technical Committees, have been of particular interest to the members of the CSNI, and have c</w:t>
      </w:r>
      <w:r w:rsidR="00684383">
        <w:rPr>
          <w:sz w:val="22"/>
          <w:szCs w:val="22"/>
        </w:rPr>
        <w:t>omplemented the CSNI’s program</w:t>
      </w:r>
      <w:r w:rsidRPr="009F7DFD">
        <w:rPr>
          <w:sz w:val="22"/>
          <w:szCs w:val="22"/>
        </w:rPr>
        <w:t xml:space="preserve"> of safety research activities. </w:t>
      </w:r>
      <w:r w:rsidR="004914A9">
        <w:rPr>
          <w:sz w:val="22"/>
          <w:szCs w:val="22"/>
        </w:rPr>
        <w:t>The JP</w:t>
      </w:r>
      <w:r w:rsidRPr="009F7DFD">
        <w:rPr>
          <w:sz w:val="22"/>
          <w:szCs w:val="22"/>
        </w:rPr>
        <w:t xml:space="preserve"> principles and benefits are descri</w:t>
      </w:r>
      <w:r w:rsidRPr="001C224B">
        <w:rPr>
          <w:sz w:val="22"/>
          <w:szCs w:val="22"/>
        </w:rPr>
        <w:t xml:space="preserve">bed </w:t>
      </w:r>
      <w:r w:rsidRPr="00F10D31">
        <w:rPr>
          <w:sz w:val="22"/>
          <w:szCs w:val="22"/>
        </w:rPr>
        <w:t xml:space="preserve">in </w:t>
      </w:r>
      <w:r w:rsidR="00CD2665">
        <w:rPr>
          <w:sz w:val="22"/>
          <w:szCs w:val="22"/>
        </w:rPr>
        <w:t xml:space="preserve">a </w:t>
      </w:r>
      <w:r w:rsidR="007E2B5E">
        <w:rPr>
          <w:sz w:val="22"/>
          <w:szCs w:val="22"/>
        </w:rPr>
        <w:t xml:space="preserve">video in the public webpage </w:t>
      </w:r>
      <w:r w:rsidR="001A068C" w:rsidRPr="00F10D31">
        <w:rPr>
          <w:b/>
          <w:bCs/>
          <w:sz w:val="22"/>
          <w:szCs w:val="22"/>
          <w:highlight w:val="green"/>
        </w:rPr>
        <w:t>[</w:t>
      </w:r>
      <w:r w:rsidR="007E2B5E">
        <w:rPr>
          <w:b/>
          <w:bCs/>
          <w:sz w:val="22"/>
          <w:szCs w:val="22"/>
          <w:highlight w:val="green"/>
        </w:rPr>
        <w:t>27</w:t>
      </w:r>
      <w:r w:rsidR="001A068C" w:rsidRPr="00F10D31">
        <w:rPr>
          <w:b/>
          <w:bCs/>
          <w:sz w:val="22"/>
          <w:szCs w:val="22"/>
          <w:highlight w:val="green"/>
        </w:rPr>
        <w:t>]</w:t>
      </w:r>
      <w:r w:rsidRPr="00F10D31">
        <w:rPr>
          <w:sz w:val="22"/>
          <w:szCs w:val="22"/>
        </w:rPr>
        <w:t xml:space="preserve"> and </w:t>
      </w:r>
      <w:r w:rsidR="001A068C" w:rsidRPr="00F10D31">
        <w:rPr>
          <w:sz w:val="22"/>
          <w:szCs w:val="22"/>
        </w:rPr>
        <w:t xml:space="preserve">in </w:t>
      </w:r>
      <w:r w:rsidR="00CD2665">
        <w:rPr>
          <w:sz w:val="22"/>
          <w:szCs w:val="22"/>
        </w:rPr>
        <w:t xml:space="preserve">a </w:t>
      </w:r>
      <w:r w:rsidRPr="00F10D31">
        <w:rPr>
          <w:sz w:val="22"/>
          <w:szCs w:val="22"/>
        </w:rPr>
        <w:t>brochure</w:t>
      </w:r>
      <w:r w:rsidR="00CD2665" w:rsidRPr="005F32EF">
        <w:rPr>
          <w:b/>
          <w:bCs/>
          <w:sz w:val="22"/>
          <w:szCs w:val="22"/>
          <w:highlight w:val="green"/>
        </w:rPr>
        <w:t xml:space="preserve"> [</w:t>
      </w:r>
      <w:r w:rsidR="00CD2665">
        <w:rPr>
          <w:b/>
          <w:bCs/>
          <w:sz w:val="22"/>
          <w:szCs w:val="22"/>
          <w:highlight w:val="green"/>
        </w:rPr>
        <w:t>28</w:t>
      </w:r>
      <w:r w:rsidR="00CD2665" w:rsidRPr="005F32EF">
        <w:rPr>
          <w:b/>
          <w:bCs/>
          <w:sz w:val="22"/>
          <w:szCs w:val="22"/>
          <w:highlight w:val="green"/>
        </w:rPr>
        <w:t>]</w:t>
      </w:r>
      <w:r w:rsidRPr="00F10D31">
        <w:rPr>
          <w:sz w:val="22"/>
          <w:szCs w:val="22"/>
        </w:rPr>
        <w:t>.</w:t>
      </w:r>
    </w:p>
    <w:p w14:paraId="0EF8233A" w14:textId="06C5D6CB" w:rsidR="00781B6A" w:rsidRDefault="009F7DFD" w:rsidP="00C21323">
      <w:pPr>
        <w:pStyle w:val="BodyTextIndent"/>
        <w:widowControl w:val="0"/>
        <w:rPr>
          <w:sz w:val="22"/>
          <w:szCs w:val="22"/>
        </w:rPr>
      </w:pPr>
      <w:r w:rsidRPr="00F10D31">
        <w:rPr>
          <w:sz w:val="22"/>
          <w:szCs w:val="22"/>
        </w:rPr>
        <w:t>J</w:t>
      </w:r>
      <w:r w:rsidR="004D60AD" w:rsidRPr="00F10D31">
        <w:rPr>
          <w:sz w:val="22"/>
          <w:szCs w:val="22"/>
        </w:rPr>
        <w:t>P</w:t>
      </w:r>
      <w:r w:rsidRPr="00F10D31">
        <w:rPr>
          <w:sz w:val="22"/>
          <w:szCs w:val="22"/>
        </w:rPr>
        <w:t xml:space="preserve">s contribute </w:t>
      </w:r>
      <w:r w:rsidR="004914A9" w:rsidRPr="00F10D31">
        <w:rPr>
          <w:sz w:val="22"/>
          <w:szCs w:val="22"/>
        </w:rPr>
        <w:t xml:space="preserve">further </w:t>
      </w:r>
      <w:r w:rsidRPr="00F10D31">
        <w:rPr>
          <w:sz w:val="22"/>
          <w:szCs w:val="22"/>
        </w:rPr>
        <w:t xml:space="preserve">to the </w:t>
      </w:r>
      <w:r w:rsidRPr="009F7DFD">
        <w:rPr>
          <w:sz w:val="22"/>
          <w:szCs w:val="22"/>
        </w:rPr>
        <w:t>development and preservation of technical capabilit</w:t>
      </w:r>
      <w:r w:rsidR="0043631B">
        <w:rPr>
          <w:sz w:val="22"/>
          <w:szCs w:val="22"/>
        </w:rPr>
        <w:t>ies</w:t>
      </w:r>
      <w:r w:rsidRPr="009F7DFD">
        <w:rPr>
          <w:sz w:val="22"/>
          <w:szCs w:val="22"/>
        </w:rPr>
        <w:t xml:space="preserve">. Together with experts, students </w:t>
      </w:r>
      <w:r w:rsidR="004914A9">
        <w:rPr>
          <w:sz w:val="22"/>
          <w:szCs w:val="22"/>
        </w:rPr>
        <w:t>and/</w:t>
      </w:r>
      <w:r w:rsidRPr="009F7DFD">
        <w:rPr>
          <w:sz w:val="22"/>
          <w:szCs w:val="22"/>
        </w:rPr>
        <w:t xml:space="preserve">or young professionals </w:t>
      </w:r>
      <w:r w:rsidR="00ED0939">
        <w:rPr>
          <w:sz w:val="22"/>
          <w:szCs w:val="22"/>
        </w:rPr>
        <w:t>can be</w:t>
      </w:r>
      <w:r w:rsidRPr="009F7DFD">
        <w:rPr>
          <w:sz w:val="22"/>
          <w:szCs w:val="22"/>
        </w:rPr>
        <w:t xml:space="preserve"> </w:t>
      </w:r>
      <w:r w:rsidR="00ED0939">
        <w:rPr>
          <w:sz w:val="22"/>
          <w:szCs w:val="22"/>
        </w:rPr>
        <w:t>involved</w:t>
      </w:r>
      <w:r w:rsidR="00ED0939" w:rsidRPr="009F7DFD">
        <w:rPr>
          <w:sz w:val="22"/>
          <w:szCs w:val="22"/>
        </w:rPr>
        <w:t xml:space="preserve"> </w:t>
      </w:r>
      <w:r w:rsidRPr="009F7DFD">
        <w:rPr>
          <w:sz w:val="22"/>
          <w:szCs w:val="22"/>
        </w:rPr>
        <w:t>and benefit</w:t>
      </w:r>
      <w:r w:rsidR="00ED0939">
        <w:rPr>
          <w:sz w:val="22"/>
          <w:szCs w:val="22"/>
        </w:rPr>
        <w:t>ed</w:t>
      </w:r>
      <w:r w:rsidRPr="009F7DFD">
        <w:rPr>
          <w:sz w:val="22"/>
          <w:szCs w:val="22"/>
        </w:rPr>
        <w:t xml:space="preserve"> from sharing knowledge and different approaches. Furthermore, participants are encouraged to use staff visits and assignments for the transfer and further development of knowledge and capability.</w:t>
      </w:r>
    </w:p>
    <w:p w14:paraId="589DF6FF" w14:textId="166183D3" w:rsidR="009F7DFD" w:rsidRDefault="009F7DFD" w:rsidP="001D3F6B">
      <w:pPr>
        <w:pStyle w:val="BodyTextIndent"/>
        <w:widowControl w:val="0"/>
        <w:ind w:firstLine="357"/>
        <w:rPr>
          <w:sz w:val="22"/>
          <w:szCs w:val="22"/>
        </w:rPr>
      </w:pPr>
      <w:r>
        <w:rPr>
          <w:sz w:val="22"/>
          <w:szCs w:val="22"/>
        </w:rPr>
        <w:t xml:space="preserve">In the area of </w:t>
      </w:r>
      <w:r w:rsidR="00ED0939">
        <w:rPr>
          <w:sz w:val="22"/>
          <w:szCs w:val="22"/>
        </w:rPr>
        <w:t>T/H</w:t>
      </w:r>
      <w:r>
        <w:rPr>
          <w:sz w:val="22"/>
          <w:szCs w:val="22"/>
        </w:rPr>
        <w:t xml:space="preserve"> there are a series of </w:t>
      </w:r>
      <w:r w:rsidR="00ED0939">
        <w:rPr>
          <w:sz w:val="22"/>
          <w:szCs w:val="22"/>
        </w:rPr>
        <w:t xml:space="preserve">JPs </w:t>
      </w:r>
      <w:r>
        <w:rPr>
          <w:sz w:val="22"/>
          <w:szCs w:val="22"/>
        </w:rPr>
        <w:t>ongoing</w:t>
      </w:r>
      <w:r w:rsidR="00ED0939">
        <w:rPr>
          <w:sz w:val="22"/>
          <w:szCs w:val="22"/>
        </w:rPr>
        <w:t>, which</w:t>
      </w:r>
      <w:r>
        <w:rPr>
          <w:sz w:val="22"/>
          <w:szCs w:val="22"/>
        </w:rPr>
        <w:t xml:space="preserve"> are briefly </w:t>
      </w:r>
      <w:r w:rsidR="0043631B">
        <w:rPr>
          <w:sz w:val="22"/>
          <w:szCs w:val="22"/>
        </w:rPr>
        <w:t>described</w:t>
      </w:r>
      <w:r w:rsidR="00ED0939">
        <w:rPr>
          <w:sz w:val="22"/>
          <w:szCs w:val="22"/>
        </w:rPr>
        <w:t xml:space="preserve"> </w:t>
      </w:r>
      <w:r>
        <w:rPr>
          <w:sz w:val="22"/>
          <w:szCs w:val="22"/>
        </w:rPr>
        <w:t xml:space="preserve">below as example. </w:t>
      </w:r>
    </w:p>
    <w:p w14:paraId="2CB3EA40" w14:textId="6B1D0C66" w:rsidR="00C43ABC" w:rsidRPr="003966EA" w:rsidRDefault="00C43ABC" w:rsidP="00C21323">
      <w:pPr>
        <w:widowControl w:val="0"/>
        <w:ind w:firstLine="357"/>
        <w:rPr>
          <w:sz w:val="22"/>
          <w:szCs w:val="22"/>
        </w:rPr>
      </w:pPr>
      <w:r w:rsidRPr="00B66860">
        <w:rPr>
          <w:sz w:val="22"/>
          <w:szCs w:val="22"/>
        </w:rPr>
        <w:t xml:space="preserve">JPs benefits and perspectives were reviewed at a large event in January 2023 organized by NEA </w:t>
      </w:r>
      <w:r w:rsidRPr="005F32EF">
        <w:rPr>
          <w:sz w:val="22"/>
          <w:szCs w:val="22"/>
          <w:highlight w:val="green"/>
        </w:rPr>
        <w:t>[29].</w:t>
      </w:r>
      <w:r w:rsidRPr="00B66860">
        <w:rPr>
          <w:sz w:val="22"/>
          <w:szCs w:val="22"/>
        </w:rPr>
        <w:t xml:space="preserve"> In the T/H area, </w:t>
      </w:r>
      <w:r w:rsidRPr="003966EA">
        <w:rPr>
          <w:sz w:val="22"/>
          <w:szCs w:val="22"/>
        </w:rPr>
        <w:t xml:space="preserve">it has been </w:t>
      </w:r>
      <w:r>
        <w:rPr>
          <w:sz w:val="22"/>
          <w:szCs w:val="22"/>
        </w:rPr>
        <w:t>said</w:t>
      </w:r>
      <w:r w:rsidRPr="003966EA">
        <w:rPr>
          <w:sz w:val="22"/>
          <w:szCs w:val="22"/>
        </w:rPr>
        <w:t xml:space="preserve"> it would be beneficial to </w:t>
      </w:r>
      <w:r w:rsidRPr="003966EA">
        <w:rPr>
          <w:sz w:val="22"/>
          <w:szCs w:val="22"/>
        </w:rPr>
        <w:lastRenderedPageBreak/>
        <w:t xml:space="preserve">establish for the future a more integrated approach using synergies and complementarities between available T/H facilities to address efficiently pending safety issues in current and future reactors, including SMRs. This is of particular importance in a period with the foreseen closure of key facilities and the development of new facilities addressing new </w:t>
      </w:r>
      <w:r>
        <w:rPr>
          <w:sz w:val="22"/>
          <w:szCs w:val="22"/>
        </w:rPr>
        <w:t>designs,</w:t>
      </w:r>
      <w:r w:rsidRPr="003966EA">
        <w:rPr>
          <w:sz w:val="22"/>
          <w:szCs w:val="22"/>
        </w:rPr>
        <w:t xml:space="preserve"> featuring passive safety systems. </w:t>
      </w:r>
    </w:p>
    <w:p w14:paraId="6851040C" w14:textId="77777777" w:rsidR="00684383" w:rsidRDefault="00684383" w:rsidP="005F32EF">
      <w:pPr>
        <w:pStyle w:val="BodyTextIndent"/>
        <w:widowControl w:val="0"/>
        <w:ind w:firstLine="357"/>
        <w:rPr>
          <w:b/>
          <w:sz w:val="22"/>
          <w:szCs w:val="22"/>
        </w:rPr>
      </w:pPr>
    </w:p>
    <w:p w14:paraId="713A69AB" w14:textId="6D364B5A" w:rsidR="009F7DFD" w:rsidRDefault="009F7DFD" w:rsidP="005F32EF">
      <w:pPr>
        <w:pStyle w:val="BodyTextIndent"/>
        <w:widowControl w:val="0"/>
        <w:ind w:firstLine="357"/>
        <w:rPr>
          <w:sz w:val="22"/>
          <w:szCs w:val="22"/>
        </w:rPr>
      </w:pPr>
      <w:r w:rsidRPr="00F678B5">
        <w:rPr>
          <w:b/>
          <w:sz w:val="22"/>
          <w:szCs w:val="22"/>
        </w:rPr>
        <w:t>ETHARINUS</w:t>
      </w:r>
      <w:r w:rsidR="00F678B5">
        <w:rPr>
          <w:b/>
          <w:sz w:val="22"/>
          <w:szCs w:val="22"/>
        </w:rPr>
        <w:t xml:space="preserve"> </w:t>
      </w:r>
      <w:r w:rsidR="00F678B5" w:rsidRPr="00F678B5">
        <w:rPr>
          <w:b/>
          <w:sz w:val="22"/>
          <w:szCs w:val="22"/>
          <w:highlight w:val="green"/>
        </w:rPr>
        <w:t>[</w:t>
      </w:r>
      <w:r w:rsidR="00C43ABC">
        <w:rPr>
          <w:b/>
          <w:sz w:val="22"/>
          <w:szCs w:val="22"/>
          <w:highlight w:val="green"/>
        </w:rPr>
        <w:t>30</w:t>
      </w:r>
      <w:r w:rsidR="00F678B5" w:rsidRPr="00F678B5">
        <w:rPr>
          <w:b/>
          <w:sz w:val="22"/>
          <w:szCs w:val="22"/>
          <w:highlight w:val="green"/>
        </w:rPr>
        <w:t>]</w:t>
      </w:r>
      <w:r w:rsidRPr="009F7DFD">
        <w:rPr>
          <w:sz w:val="22"/>
          <w:szCs w:val="22"/>
        </w:rPr>
        <w:t xml:space="preserve">, Experimental Thermal Hydraulics for Analysis, Research and Innovations in NUclear Safety </w:t>
      </w:r>
      <w:r w:rsidR="00E13341">
        <w:rPr>
          <w:sz w:val="22"/>
          <w:szCs w:val="22"/>
        </w:rPr>
        <w:t>(</w:t>
      </w:r>
      <w:r w:rsidR="00E13341" w:rsidRPr="00E13341">
        <w:rPr>
          <w:sz w:val="22"/>
          <w:szCs w:val="22"/>
        </w:rPr>
        <w:t>ETHARINUS</w:t>
      </w:r>
      <w:r w:rsidR="00E13341">
        <w:rPr>
          <w:sz w:val="22"/>
          <w:szCs w:val="22"/>
        </w:rPr>
        <w:t xml:space="preserve">) </w:t>
      </w:r>
      <w:r w:rsidRPr="009F7DFD">
        <w:rPr>
          <w:sz w:val="22"/>
          <w:szCs w:val="22"/>
        </w:rPr>
        <w:t xml:space="preserve">Project </w:t>
      </w:r>
      <w:r w:rsidR="00D67441">
        <w:rPr>
          <w:sz w:val="22"/>
          <w:szCs w:val="22"/>
        </w:rPr>
        <w:t xml:space="preserve">utilizes </w:t>
      </w:r>
      <w:r w:rsidR="00226DAA">
        <w:rPr>
          <w:sz w:val="22"/>
          <w:szCs w:val="22"/>
        </w:rPr>
        <w:t xml:space="preserve">mostly </w:t>
      </w:r>
      <w:r w:rsidR="00D67441">
        <w:rPr>
          <w:sz w:val="22"/>
          <w:szCs w:val="22"/>
        </w:rPr>
        <w:t xml:space="preserve">the PKL facility at </w:t>
      </w:r>
      <w:r w:rsidR="00D67441" w:rsidRPr="00D67441">
        <w:rPr>
          <w:sz w:val="22"/>
          <w:szCs w:val="22"/>
        </w:rPr>
        <w:t xml:space="preserve">FRAMATOME </w:t>
      </w:r>
      <w:r w:rsidR="00D67441">
        <w:rPr>
          <w:sz w:val="22"/>
          <w:szCs w:val="22"/>
        </w:rPr>
        <w:t>in Germany.</w:t>
      </w:r>
      <w:r w:rsidR="00F678B5">
        <w:rPr>
          <w:sz w:val="22"/>
          <w:szCs w:val="22"/>
        </w:rPr>
        <w:t xml:space="preserve"> </w:t>
      </w:r>
      <w:r w:rsidR="00D67441">
        <w:rPr>
          <w:sz w:val="22"/>
          <w:szCs w:val="22"/>
        </w:rPr>
        <w:t xml:space="preserve">This project </w:t>
      </w:r>
      <w:r w:rsidR="00F678B5" w:rsidRPr="00F678B5">
        <w:rPr>
          <w:sz w:val="22"/>
          <w:szCs w:val="22"/>
        </w:rPr>
        <w:t>investigat</w:t>
      </w:r>
      <w:r w:rsidR="00C66A70">
        <w:rPr>
          <w:sz w:val="22"/>
          <w:szCs w:val="22"/>
        </w:rPr>
        <w:t>es</w:t>
      </w:r>
      <w:r w:rsidR="00F678B5" w:rsidRPr="00F678B5">
        <w:rPr>
          <w:sz w:val="22"/>
          <w:szCs w:val="22"/>
        </w:rPr>
        <w:t xml:space="preserve"> </w:t>
      </w:r>
      <w:r w:rsidR="0043631B">
        <w:rPr>
          <w:sz w:val="22"/>
          <w:szCs w:val="22"/>
        </w:rPr>
        <w:t xml:space="preserve">T/H </w:t>
      </w:r>
      <w:r w:rsidR="00F678B5" w:rsidRPr="00F678B5">
        <w:rPr>
          <w:sz w:val="22"/>
          <w:szCs w:val="22"/>
        </w:rPr>
        <w:t>phenomena where the knowledge base for safety assessment is not sufficiently developed and provid</w:t>
      </w:r>
      <w:r w:rsidR="00226DAA">
        <w:rPr>
          <w:sz w:val="22"/>
          <w:szCs w:val="22"/>
        </w:rPr>
        <w:t>es</w:t>
      </w:r>
      <w:r w:rsidR="00F678B5" w:rsidRPr="00F678B5">
        <w:rPr>
          <w:sz w:val="22"/>
          <w:szCs w:val="22"/>
        </w:rPr>
        <w:t xml:space="preserve"> qualified data for </w:t>
      </w:r>
      <w:r w:rsidR="00C66A70">
        <w:rPr>
          <w:sz w:val="22"/>
          <w:szCs w:val="22"/>
        </w:rPr>
        <w:t xml:space="preserve">the </w:t>
      </w:r>
      <w:r w:rsidR="00C66A70" w:rsidRPr="00F678B5">
        <w:rPr>
          <w:sz w:val="22"/>
          <w:szCs w:val="22"/>
        </w:rPr>
        <w:t>development and validation</w:t>
      </w:r>
      <w:r w:rsidR="00C66A70" w:rsidRPr="00F678B5" w:rsidDel="00C66A70">
        <w:rPr>
          <w:sz w:val="22"/>
          <w:szCs w:val="22"/>
        </w:rPr>
        <w:t xml:space="preserve"> </w:t>
      </w:r>
      <w:r w:rsidR="00C66A70">
        <w:rPr>
          <w:sz w:val="22"/>
          <w:szCs w:val="22"/>
        </w:rPr>
        <w:t>of T/H</w:t>
      </w:r>
      <w:r w:rsidR="00F678B5" w:rsidRPr="00F678B5">
        <w:rPr>
          <w:sz w:val="22"/>
          <w:szCs w:val="22"/>
        </w:rPr>
        <w:t xml:space="preserve"> code</w:t>
      </w:r>
      <w:r w:rsidR="00C66A70">
        <w:rPr>
          <w:sz w:val="22"/>
          <w:szCs w:val="22"/>
        </w:rPr>
        <w:t>s and</w:t>
      </w:r>
      <w:r w:rsidR="00F678B5" w:rsidRPr="00F678B5">
        <w:rPr>
          <w:sz w:val="22"/>
          <w:szCs w:val="22"/>
        </w:rPr>
        <w:t xml:space="preserve"> model</w:t>
      </w:r>
      <w:r w:rsidR="00C66A70">
        <w:rPr>
          <w:sz w:val="22"/>
          <w:szCs w:val="22"/>
        </w:rPr>
        <w:t>s used</w:t>
      </w:r>
      <w:r w:rsidR="00F678B5" w:rsidRPr="00F678B5">
        <w:rPr>
          <w:sz w:val="22"/>
          <w:szCs w:val="22"/>
        </w:rPr>
        <w:t xml:space="preserve"> for the analysis of key safety issues. The project scope </w:t>
      </w:r>
      <w:r w:rsidR="00C66A70">
        <w:rPr>
          <w:sz w:val="22"/>
          <w:szCs w:val="22"/>
        </w:rPr>
        <w:t>includes development of</w:t>
      </w:r>
      <w:r w:rsidR="00F678B5" w:rsidRPr="00F678B5">
        <w:rPr>
          <w:sz w:val="22"/>
          <w:szCs w:val="22"/>
        </w:rPr>
        <w:t xml:space="preserve"> a common database to contribute to the experimental verification of cool down procedures, operation modes and systems (including passive ones) for different transients. An enhanced focus of the investigations is on studies related to loss of coolant accident (LOCA) addressing DEC for small break LOCA (SB-LOCA) scenarios and two-phase flow thermal-hydraulic phenomena for Intermediate break LOCA (IB-LOCA) scenarios, on studies related to core cooling performance under partial core blockage, on studies related to effectiveness of passive heat removal systems and on studies related to cool down procedures after a multiple steam generator tube rupture (MSGTR) scenario. ETHARINUS experiments are highly relevant to the improvement and validation of </w:t>
      </w:r>
      <w:r w:rsidR="00A52C7E">
        <w:rPr>
          <w:sz w:val="22"/>
          <w:szCs w:val="22"/>
        </w:rPr>
        <w:t>T/H</w:t>
      </w:r>
      <w:r w:rsidR="00F678B5" w:rsidRPr="00F678B5">
        <w:rPr>
          <w:sz w:val="22"/>
          <w:szCs w:val="22"/>
        </w:rPr>
        <w:t xml:space="preserve"> safety codes and their use, as well as to the </w:t>
      </w:r>
      <w:r w:rsidR="00684383" w:rsidRPr="00F678B5">
        <w:rPr>
          <w:sz w:val="22"/>
          <w:szCs w:val="22"/>
        </w:rPr>
        <w:t>maintenance</w:t>
      </w:r>
      <w:r w:rsidR="00F678B5" w:rsidRPr="00F678B5">
        <w:rPr>
          <w:sz w:val="22"/>
          <w:szCs w:val="22"/>
        </w:rPr>
        <w:t xml:space="preserve"> of competence and expertise in this field.</w:t>
      </w:r>
    </w:p>
    <w:p w14:paraId="4568D268" w14:textId="343671E4" w:rsidR="00F678B5" w:rsidRPr="009F7DFD" w:rsidRDefault="00F678B5" w:rsidP="005F32EF">
      <w:pPr>
        <w:pStyle w:val="BodyTextIndent"/>
        <w:widowControl w:val="0"/>
        <w:ind w:firstLine="357"/>
        <w:rPr>
          <w:sz w:val="22"/>
          <w:szCs w:val="22"/>
        </w:rPr>
      </w:pPr>
      <w:r>
        <w:rPr>
          <w:sz w:val="22"/>
          <w:szCs w:val="22"/>
        </w:rPr>
        <w:t xml:space="preserve">While the PKL facility will be dismantled by March 2024, </w:t>
      </w:r>
      <w:r w:rsidR="00A52C7E">
        <w:rPr>
          <w:sz w:val="22"/>
          <w:szCs w:val="22"/>
        </w:rPr>
        <w:t xml:space="preserve">the gained PKL data will be used for </w:t>
      </w:r>
      <w:r w:rsidR="00226DAA">
        <w:rPr>
          <w:sz w:val="22"/>
          <w:szCs w:val="22"/>
        </w:rPr>
        <w:t>a new</w:t>
      </w:r>
      <w:r w:rsidR="00A52C7E">
        <w:rPr>
          <w:sz w:val="22"/>
          <w:szCs w:val="22"/>
        </w:rPr>
        <w:t xml:space="preserve"> ISP</w:t>
      </w:r>
      <w:r w:rsidR="00C43ABC">
        <w:rPr>
          <w:sz w:val="22"/>
          <w:szCs w:val="22"/>
        </w:rPr>
        <w:t xml:space="preserve"> addressing MSGTR</w:t>
      </w:r>
      <w:r w:rsidR="00C43ABC" w:rsidRPr="00C43ABC">
        <w:rPr>
          <w:sz w:val="22"/>
          <w:szCs w:val="22"/>
        </w:rPr>
        <w:t xml:space="preserve"> related to DEC scenario that may occur in the hypothetical scenario of a combined </w:t>
      </w:r>
      <w:r w:rsidR="00EB2C14">
        <w:rPr>
          <w:sz w:val="22"/>
          <w:szCs w:val="22"/>
        </w:rPr>
        <w:t>msteam line break (</w:t>
      </w:r>
      <w:r w:rsidR="00C43ABC">
        <w:rPr>
          <w:sz w:val="22"/>
          <w:szCs w:val="22"/>
        </w:rPr>
        <w:t>MSLB</w:t>
      </w:r>
      <w:r w:rsidR="00EB2C14">
        <w:rPr>
          <w:sz w:val="22"/>
          <w:szCs w:val="22"/>
        </w:rPr>
        <w:t>)</w:t>
      </w:r>
      <w:r w:rsidR="00C43ABC">
        <w:rPr>
          <w:sz w:val="22"/>
          <w:szCs w:val="22"/>
        </w:rPr>
        <w:t xml:space="preserve"> </w:t>
      </w:r>
      <w:r w:rsidR="00C43ABC" w:rsidRPr="00C43ABC">
        <w:rPr>
          <w:sz w:val="22"/>
          <w:szCs w:val="22"/>
        </w:rPr>
        <w:t>and MSGTR</w:t>
      </w:r>
      <w:r w:rsidR="00A52C7E">
        <w:rPr>
          <w:sz w:val="22"/>
          <w:szCs w:val="22"/>
        </w:rPr>
        <w:t>. T</w:t>
      </w:r>
      <w:r>
        <w:rPr>
          <w:sz w:val="22"/>
          <w:szCs w:val="22"/>
        </w:rPr>
        <w:t xml:space="preserve">he </w:t>
      </w:r>
      <w:r w:rsidR="00A52C7E">
        <w:rPr>
          <w:sz w:val="22"/>
          <w:szCs w:val="22"/>
        </w:rPr>
        <w:t xml:space="preserve">project </w:t>
      </w:r>
      <w:r>
        <w:rPr>
          <w:sz w:val="22"/>
          <w:szCs w:val="22"/>
        </w:rPr>
        <w:t xml:space="preserve">participants are working in preparing a new proposal to ensure continued </w:t>
      </w:r>
      <w:r w:rsidR="00A52C7E">
        <w:rPr>
          <w:sz w:val="22"/>
          <w:szCs w:val="22"/>
        </w:rPr>
        <w:t xml:space="preserve">contribution to </w:t>
      </w:r>
      <w:r>
        <w:rPr>
          <w:sz w:val="22"/>
          <w:szCs w:val="22"/>
        </w:rPr>
        <w:t xml:space="preserve">the </w:t>
      </w:r>
      <w:r w:rsidR="00A52C7E">
        <w:rPr>
          <w:sz w:val="22"/>
          <w:szCs w:val="22"/>
        </w:rPr>
        <w:t xml:space="preserve">T/H </w:t>
      </w:r>
      <w:r>
        <w:rPr>
          <w:sz w:val="22"/>
          <w:szCs w:val="22"/>
        </w:rPr>
        <w:t>safety issues</w:t>
      </w:r>
      <w:r w:rsidR="00226DAA">
        <w:rPr>
          <w:sz w:val="22"/>
          <w:szCs w:val="22"/>
        </w:rPr>
        <w:t xml:space="preserve"> with alternate T/H facilities</w:t>
      </w:r>
      <w:r>
        <w:rPr>
          <w:sz w:val="22"/>
          <w:szCs w:val="22"/>
        </w:rPr>
        <w:t xml:space="preserve">. </w:t>
      </w:r>
    </w:p>
    <w:p w14:paraId="5138D593" w14:textId="77777777" w:rsidR="00684383" w:rsidRDefault="00684383" w:rsidP="005F32EF">
      <w:pPr>
        <w:pStyle w:val="BodyTextIndent"/>
        <w:widowControl w:val="0"/>
        <w:ind w:firstLine="357"/>
        <w:rPr>
          <w:b/>
          <w:sz w:val="22"/>
          <w:szCs w:val="22"/>
        </w:rPr>
      </w:pPr>
    </w:p>
    <w:p w14:paraId="490EFBD8" w14:textId="20038F94" w:rsidR="00F678B5" w:rsidRPr="00F678B5" w:rsidRDefault="009F7DFD" w:rsidP="005F32EF">
      <w:pPr>
        <w:pStyle w:val="BodyTextIndent"/>
        <w:widowControl w:val="0"/>
        <w:ind w:firstLine="357"/>
        <w:rPr>
          <w:sz w:val="22"/>
          <w:szCs w:val="22"/>
        </w:rPr>
      </w:pPr>
      <w:r w:rsidRPr="00F678B5">
        <w:rPr>
          <w:b/>
          <w:sz w:val="22"/>
          <w:szCs w:val="22"/>
        </w:rPr>
        <w:t>ATLAS-3</w:t>
      </w:r>
      <w:r w:rsidR="00F678B5">
        <w:rPr>
          <w:b/>
          <w:sz w:val="22"/>
          <w:szCs w:val="22"/>
        </w:rPr>
        <w:t xml:space="preserve"> </w:t>
      </w:r>
      <w:r w:rsidR="00F678B5" w:rsidRPr="00F678B5">
        <w:rPr>
          <w:b/>
          <w:sz w:val="22"/>
          <w:szCs w:val="22"/>
          <w:highlight w:val="green"/>
        </w:rPr>
        <w:t>[</w:t>
      </w:r>
      <w:r w:rsidR="007E2B5E">
        <w:rPr>
          <w:b/>
          <w:sz w:val="22"/>
          <w:szCs w:val="22"/>
          <w:highlight w:val="green"/>
        </w:rPr>
        <w:t>3</w:t>
      </w:r>
      <w:r w:rsidR="00C43ABC">
        <w:rPr>
          <w:b/>
          <w:sz w:val="22"/>
          <w:szCs w:val="22"/>
          <w:highlight w:val="green"/>
        </w:rPr>
        <w:t>1</w:t>
      </w:r>
      <w:r w:rsidR="00F678B5" w:rsidRPr="00F678B5">
        <w:rPr>
          <w:b/>
          <w:sz w:val="22"/>
          <w:szCs w:val="22"/>
          <w:highlight w:val="green"/>
        </w:rPr>
        <w:t>]</w:t>
      </w:r>
      <w:r w:rsidRPr="009F7DFD">
        <w:rPr>
          <w:sz w:val="22"/>
          <w:szCs w:val="22"/>
        </w:rPr>
        <w:t xml:space="preserve">, </w:t>
      </w:r>
      <w:r w:rsidR="00F678B5" w:rsidRPr="00F678B5">
        <w:rPr>
          <w:sz w:val="22"/>
          <w:szCs w:val="22"/>
        </w:rPr>
        <w:t>Advanced Thermal-hydraulic Test Loop for Accident Simulation</w:t>
      </w:r>
      <w:r w:rsidR="00F678B5">
        <w:rPr>
          <w:sz w:val="22"/>
          <w:szCs w:val="22"/>
        </w:rPr>
        <w:t xml:space="preserve"> </w:t>
      </w:r>
      <w:r w:rsidR="00E13341">
        <w:rPr>
          <w:sz w:val="22"/>
          <w:szCs w:val="22"/>
        </w:rPr>
        <w:t xml:space="preserve">(ATLAS) </w:t>
      </w:r>
      <w:r w:rsidR="00F678B5">
        <w:rPr>
          <w:sz w:val="22"/>
          <w:szCs w:val="22"/>
        </w:rPr>
        <w:t xml:space="preserve">Phase 3 Project </w:t>
      </w:r>
      <w:r w:rsidR="007260CB">
        <w:rPr>
          <w:sz w:val="22"/>
          <w:szCs w:val="22"/>
        </w:rPr>
        <w:t>utilizes the ATLAS test facility at KAERI. This project</w:t>
      </w:r>
      <w:r w:rsidR="00F678B5" w:rsidRPr="00F678B5">
        <w:rPr>
          <w:sz w:val="22"/>
          <w:szCs w:val="22"/>
        </w:rPr>
        <w:t xml:space="preserve"> </w:t>
      </w:r>
      <w:r w:rsidR="007260CB">
        <w:rPr>
          <w:sz w:val="22"/>
          <w:szCs w:val="22"/>
        </w:rPr>
        <w:t>is</w:t>
      </w:r>
      <w:r w:rsidR="007260CB" w:rsidRPr="00F678B5">
        <w:rPr>
          <w:sz w:val="22"/>
          <w:szCs w:val="22"/>
        </w:rPr>
        <w:t xml:space="preserve"> </w:t>
      </w:r>
      <w:r w:rsidR="00F678B5" w:rsidRPr="00F678B5">
        <w:rPr>
          <w:sz w:val="22"/>
          <w:szCs w:val="22"/>
        </w:rPr>
        <w:t xml:space="preserve">referenced in </w:t>
      </w:r>
      <w:r w:rsidR="007260CB">
        <w:rPr>
          <w:sz w:val="22"/>
          <w:szCs w:val="22"/>
        </w:rPr>
        <w:t xml:space="preserve">the </w:t>
      </w:r>
      <w:r w:rsidR="007260CB" w:rsidRPr="00F678B5">
        <w:rPr>
          <w:sz w:val="22"/>
          <w:szCs w:val="22"/>
        </w:rPr>
        <w:t xml:space="preserve">report </w:t>
      </w:r>
      <w:r w:rsidR="007260CB">
        <w:rPr>
          <w:sz w:val="22"/>
          <w:szCs w:val="22"/>
        </w:rPr>
        <w:t>"</w:t>
      </w:r>
      <w:r w:rsidR="00F678B5" w:rsidRPr="00F678B5">
        <w:rPr>
          <w:sz w:val="22"/>
          <w:szCs w:val="22"/>
        </w:rPr>
        <w:t xml:space="preserve">The Fukushima Daiichi </w:t>
      </w:r>
      <w:r w:rsidR="00A52C7E">
        <w:rPr>
          <w:sz w:val="22"/>
          <w:szCs w:val="22"/>
        </w:rPr>
        <w:t>(1F) NPP</w:t>
      </w:r>
      <w:r w:rsidR="00F678B5" w:rsidRPr="00F678B5">
        <w:rPr>
          <w:sz w:val="22"/>
          <w:szCs w:val="22"/>
        </w:rPr>
        <w:t xml:space="preserve"> Accident: OECD/NEA Nuclear </w:t>
      </w:r>
      <w:r w:rsidR="00F678B5" w:rsidRPr="00F678B5">
        <w:rPr>
          <w:sz w:val="22"/>
          <w:szCs w:val="22"/>
        </w:rPr>
        <w:t>Safety Response and Lessons Learnt</w:t>
      </w:r>
      <w:r w:rsidR="007260CB">
        <w:rPr>
          <w:sz w:val="22"/>
          <w:szCs w:val="22"/>
        </w:rPr>
        <w:t>"</w:t>
      </w:r>
      <w:r w:rsidR="00F678B5" w:rsidRPr="00F678B5">
        <w:rPr>
          <w:sz w:val="22"/>
          <w:szCs w:val="22"/>
        </w:rPr>
        <w:t xml:space="preserve"> </w:t>
      </w:r>
      <w:r w:rsidR="00F678B5" w:rsidRPr="005F32EF">
        <w:rPr>
          <w:b/>
          <w:bCs/>
          <w:sz w:val="22"/>
          <w:szCs w:val="22"/>
          <w:highlight w:val="green"/>
        </w:rPr>
        <w:t>[</w:t>
      </w:r>
      <w:r w:rsidR="007E2B5E">
        <w:rPr>
          <w:b/>
          <w:bCs/>
          <w:sz w:val="22"/>
          <w:szCs w:val="22"/>
          <w:highlight w:val="green"/>
        </w:rPr>
        <w:t>3</w:t>
      </w:r>
      <w:r w:rsidR="00C43ABC">
        <w:rPr>
          <w:b/>
          <w:bCs/>
          <w:sz w:val="22"/>
          <w:szCs w:val="22"/>
          <w:highlight w:val="green"/>
        </w:rPr>
        <w:t>2</w:t>
      </w:r>
      <w:r w:rsidR="00F678B5" w:rsidRPr="005F32EF">
        <w:rPr>
          <w:b/>
          <w:bCs/>
          <w:sz w:val="22"/>
          <w:szCs w:val="22"/>
          <w:highlight w:val="green"/>
        </w:rPr>
        <w:t>]</w:t>
      </w:r>
      <w:r w:rsidR="00F678B5">
        <w:rPr>
          <w:sz w:val="22"/>
          <w:szCs w:val="22"/>
        </w:rPr>
        <w:t xml:space="preserve"> </w:t>
      </w:r>
      <w:r w:rsidR="00F678B5" w:rsidRPr="00F678B5">
        <w:rPr>
          <w:sz w:val="22"/>
          <w:szCs w:val="22"/>
        </w:rPr>
        <w:t xml:space="preserve">as one of the three new </w:t>
      </w:r>
      <w:r w:rsidR="00A52C7E">
        <w:rPr>
          <w:sz w:val="22"/>
          <w:szCs w:val="22"/>
        </w:rPr>
        <w:t>JP</w:t>
      </w:r>
      <w:r w:rsidR="00F678B5" w:rsidRPr="00F678B5">
        <w:rPr>
          <w:sz w:val="22"/>
          <w:szCs w:val="22"/>
        </w:rPr>
        <w:t xml:space="preserve">s based on existing research facilities </w:t>
      </w:r>
      <w:r w:rsidR="007260CB">
        <w:rPr>
          <w:sz w:val="22"/>
          <w:szCs w:val="22"/>
        </w:rPr>
        <w:t>that</w:t>
      </w:r>
      <w:r w:rsidR="007260CB" w:rsidRPr="00F678B5">
        <w:rPr>
          <w:sz w:val="22"/>
          <w:szCs w:val="22"/>
        </w:rPr>
        <w:t xml:space="preserve"> </w:t>
      </w:r>
      <w:r w:rsidR="00F678B5" w:rsidRPr="00F678B5">
        <w:rPr>
          <w:sz w:val="22"/>
          <w:szCs w:val="22"/>
        </w:rPr>
        <w:t xml:space="preserve">address safety issues related to the </w:t>
      </w:r>
      <w:r w:rsidR="00A52C7E">
        <w:rPr>
          <w:sz w:val="22"/>
          <w:szCs w:val="22"/>
        </w:rPr>
        <w:t>1F</w:t>
      </w:r>
      <w:r w:rsidR="00F678B5" w:rsidRPr="00F678B5">
        <w:rPr>
          <w:sz w:val="22"/>
          <w:szCs w:val="22"/>
        </w:rPr>
        <w:t xml:space="preserve"> accident.</w:t>
      </w:r>
    </w:p>
    <w:p w14:paraId="2711F425" w14:textId="371920A5" w:rsidR="00F678B5" w:rsidRPr="00F678B5" w:rsidRDefault="00F678B5" w:rsidP="005F32EF">
      <w:pPr>
        <w:pStyle w:val="BodyTextIndent"/>
        <w:widowControl w:val="0"/>
        <w:ind w:firstLine="357"/>
        <w:rPr>
          <w:sz w:val="22"/>
          <w:szCs w:val="22"/>
        </w:rPr>
      </w:pPr>
      <w:r w:rsidRPr="00F678B5">
        <w:rPr>
          <w:sz w:val="22"/>
          <w:szCs w:val="22"/>
        </w:rPr>
        <w:t>Th</w:t>
      </w:r>
      <w:r w:rsidR="007260CB">
        <w:rPr>
          <w:sz w:val="22"/>
          <w:szCs w:val="22"/>
        </w:rPr>
        <w:t>is</w:t>
      </w:r>
      <w:r w:rsidRPr="00F678B5">
        <w:rPr>
          <w:sz w:val="22"/>
          <w:szCs w:val="22"/>
        </w:rPr>
        <w:t xml:space="preserve"> project is aimed </w:t>
      </w:r>
      <w:r w:rsidR="00A52C7E">
        <w:rPr>
          <w:sz w:val="22"/>
          <w:szCs w:val="22"/>
        </w:rPr>
        <w:t>to</w:t>
      </w:r>
      <w:r w:rsidR="00A52C7E" w:rsidRPr="00F678B5">
        <w:rPr>
          <w:sz w:val="22"/>
          <w:szCs w:val="22"/>
        </w:rPr>
        <w:t xml:space="preserve"> </w:t>
      </w:r>
      <w:r w:rsidRPr="00F678B5">
        <w:rPr>
          <w:sz w:val="22"/>
          <w:szCs w:val="22"/>
        </w:rPr>
        <w:t>investigat</w:t>
      </w:r>
      <w:r w:rsidR="00A52C7E">
        <w:rPr>
          <w:sz w:val="22"/>
          <w:szCs w:val="22"/>
        </w:rPr>
        <w:t>e</w:t>
      </w:r>
      <w:r w:rsidRPr="00F678B5">
        <w:rPr>
          <w:sz w:val="22"/>
          <w:szCs w:val="22"/>
        </w:rPr>
        <w:t xml:space="preserve"> the </w:t>
      </w:r>
      <w:r w:rsidR="00A52C7E">
        <w:rPr>
          <w:sz w:val="22"/>
          <w:szCs w:val="22"/>
        </w:rPr>
        <w:t>T/H</w:t>
      </w:r>
      <w:r w:rsidR="00A52C7E" w:rsidRPr="00F678B5">
        <w:rPr>
          <w:sz w:val="22"/>
          <w:szCs w:val="22"/>
        </w:rPr>
        <w:t xml:space="preserve"> </w:t>
      </w:r>
      <w:r w:rsidRPr="00F678B5">
        <w:rPr>
          <w:sz w:val="22"/>
          <w:szCs w:val="22"/>
        </w:rPr>
        <w:t xml:space="preserve">field of accident scenarios of high safety relevance for both existing and future </w:t>
      </w:r>
      <w:r w:rsidR="00A52C7E">
        <w:rPr>
          <w:sz w:val="22"/>
          <w:szCs w:val="22"/>
        </w:rPr>
        <w:t>NPP</w:t>
      </w:r>
      <w:r w:rsidRPr="00F678B5">
        <w:rPr>
          <w:sz w:val="22"/>
          <w:szCs w:val="22"/>
        </w:rPr>
        <w:t>s.</w:t>
      </w:r>
      <w:r w:rsidR="007260CB">
        <w:rPr>
          <w:sz w:val="22"/>
          <w:szCs w:val="22"/>
        </w:rPr>
        <w:t xml:space="preserve"> </w:t>
      </w:r>
      <w:r w:rsidRPr="00F678B5">
        <w:rPr>
          <w:sz w:val="22"/>
          <w:szCs w:val="22"/>
        </w:rPr>
        <w:t xml:space="preserve">Such investigations are of specific importance because they contribute to the validation of computer codes that are required in safety evaluation of light water reactors (LWRs) in order to simulate plant </w:t>
      </w:r>
      <w:r w:rsidR="00684383" w:rsidRPr="00F678B5">
        <w:rPr>
          <w:sz w:val="22"/>
          <w:szCs w:val="22"/>
        </w:rPr>
        <w:t>behavior</w:t>
      </w:r>
      <w:r w:rsidRPr="00F678B5">
        <w:rPr>
          <w:sz w:val="22"/>
          <w:szCs w:val="22"/>
        </w:rPr>
        <w:t xml:space="preserve"> during DBAs and DECs. They cover complex multi-dimensional single-phase and two-phase flow conditions.</w:t>
      </w:r>
    </w:p>
    <w:p w14:paraId="6F125584" w14:textId="77777777" w:rsidR="00684383" w:rsidRDefault="00684383" w:rsidP="00F678B5">
      <w:pPr>
        <w:pStyle w:val="BodyTextIndent"/>
        <w:rPr>
          <w:sz w:val="22"/>
          <w:szCs w:val="22"/>
        </w:rPr>
      </w:pPr>
    </w:p>
    <w:p w14:paraId="2A21DF87" w14:textId="350FD599" w:rsidR="00E6353F" w:rsidRPr="00E6353F" w:rsidRDefault="009F7DFD" w:rsidP="00E6353F">
      <w:pPr>
        <w:pStyle w:val="BodyTextIndent"/>
        <w:rPr>
          <w:sz w:val="22"/>
          <w:szCs w:val="22"/>
        </w:rPr>
      </w:pPr>
      <w:r w:rsidRPr="00E6353F">
        <w:rPr>
          <w:b/>
          <w:sz w:val="22"/>
          <w:szCs w:val="22"/>
        </w:rPr>
        <w:t>RBHT</w:t>
      </w:r>
      <w:r w:rsidR="00E6353F" w:rsidRPr="00E6353F">
        <w:rPr>
          <w:b/>
          <w:sz w:val="22"/>
          <w:szCs w:val="22"/>
        </w:rPr>
        <w:t xml:space="preserve"> </w:t>
      </w:r>
      <w:r w:rsidR="00E6353F" w:rsidRPr="00E6353F">
        <w:rPr>
          <w:b/>
          <w:sz w:val="22"/>
          <w:szCs w:val="22"/>
          <w:highlight w:val="green"/>
        </w:rPr>
        <w:t>[</w:t>
      </w:r>
      <w:r w:rsidR="007E2B5E">
        <w:rPr>
          <w:b/>
          <w:sz w:val="22"/>
          <w:szCs w:val="22"/>
          <w:highlight w:val="green"/>
        </w:rPr>
        <w:t>3</w:t>
      </w:r>
      <w:r w:rsidR="00C43ABC">
        <w:rPr>
          <w:b/>
          <w:sz w:val="22"/>
          <w:szCs w:val="22"/>
          <w:highlight w:val="green"/>
        </w:rPr>
        <w:t>3</w:t>
      </w:r>
      <w:r w:rsidR="00E6353F" w:rsidRPr="00E6353F">
        <w:rPr>
          <w:b/>
          <w:sz w:val="22"/>
          <w:szCs w:val="22"/>
          <w:highlight w:val="green"/>
        </w:rPr>
        <w:t>]</w:t>
      </w:r>
      <w:r w:rsidRPr="00E6353F">
        <w:rPr>
          <w:b/>
          <w:sz w:val="22"/>
          <w:szCs w:val="22"/>
        </w:rPr>
        <w:t>,</w:t>
      </w:r>
      <w:r w:rsidRPr="009F7DFD">
        <w:rPr>
          <w:sz w:val="22"/>
          <w:szCs w:val="22"/>
        </w:rPr>
        <w:t xml:space="preserve"> Rod Bundle Heat Transfer</w:t>
      </w:r>
      <w:r w:rsidR="00E6353F">
        <w:rPr>
          <w:sz w:val="22"/>
          <w:szCs w:val="22"/>
        </w:rPr>
        <w:t xml:space="preserve"> </w:t>
      </w:r>
      <w:r w:rsidR="00E13341">
        <w:rPr>
          <w:sz w:val="22"/>
          <w:szCs w:val="22"/>
        </w:rPr>
        <w:t xml:space="preserve">(RBHT) </w:t>
      </w:r>
      <w:r w:rsidR="00E6353F">
        <w:rPr>
          <w:sz w:val="22"/>
          <w:szCs w:val="22"/>
        </w:rPr>
        <w:t>Project</w:t>
      </w:r>
      <w:r w:rsidR="007260CB">
        <w:rPr>
          <w:sz w:val="22"/>
          <w:szCs w:val="22"/>
        </w:rPr>
        <w:t xml:space="preserve"> utilizes the RBHT test facility </w:t>
      </w:r>
      <w:r w:rsidR="007260CB" w:rsidRPr="007260CB">
        <w:rPr>
          <w:sz w:val="22"/>
          <w:szCs w:val="22"/>
        </w:rPr>
        <w:t>at Pennsylvania State University under the United States Nuclear Regulatory Commission (NRC) co-ordination</w:t>
      </w:r>
      <w:r w:rsidR="007260CB">
        <w:rPr>
          <w:sz w:val="22"/>
          <w:szCs w:val="22"/>
        </w:rPr>
        <w:t>.</w:t>
      </w:r>
      <w:r w:rsidR="00E6353F">
        <w:rPr>
          <w:sz w:val="22"/>
          <w:szCs w:val="22"/>
        </w:rPr>
        <w:t xml:space="preserve"> </w:t>
      </w:r>
      <w:r w:rsidR="00E11F0A">
        <w:rPr>
          <w:sz w:val="22"/>
          <w:szCs w:val="22"/>
        </w:rPr>
        <w:t>M</w:t>
      </w:r>
      <w:r w:rsidR="00E6353F" w:rsidRPr="00E6353F">
        <w:rPr>
          <w:sz w:val="22"/>
          <w:szCs w:val="22"/>
        </w:rPr>
        <w:t xml:space="preserve">odelling reactor core </w:t>
      </w:r>
      <w:r w:rsidR="00684383" w:rsidRPr="00E6353F">
        <w:rPr>
          <w:sz w:val="22"/>
          <w:szCs w:val="22"/>
        </w:rPr>
        <w:t>behavior</w:t>
      </w:r>
      <w:r w:rsidR="00E6353F" w:rsidRPr="00E6353F">
        <w:rPr>
          <w:sz w:val="22"/>
          <w:szCs w:val="22"/>
        </w:rPr>
        <w:t xml:space="preserve"> under accident conditions with delayed re-introduction of cooling water (commonly referred to as reflood) is a challenge for safety analysis computer codes. Reflood </w:t>
      </w:r>
      <w:r w:rsidR="005D2191">
        <w:rPr>
          <w:sz w:val="22"/>
          <w:szCs w:val="22"/>
        </w:rPr>
        <w:t>T/H</w:t>
      </w:r>
      <w:r w:rsidR="00E6353F" w:rsidRPr="00E6353F">
        <w:rPr>
          <w:sz w:val="22"/>
          <w:szCs w:val="22"/>
        </w:rPr>
        <w:t xml:space="preserve"> (e.g.</w:t>
      </w:r>
      <w:r w:rsidR="005D2191">
        <w:rPr>
          <w:sz w:val="22"/>
          <w:szCs w:val="22"/>
        </w:rPr>
        <w:t>,</w:t>
      </w:r>
      <w:r w:rsidR="00E6353F" w:rsidRPr="00E6353F">
        <w:rPr>
          <w:sz w:val="22"/>
          <w:szCs w:val="22"/>
        </w:rPr>
        <w:t xml:space="preserve"> post-critical heat flux </w:t>
      </w:r>
      <w:r w:rsidR="007030AC">
        <w:rPr>
          <w:sz w:val="22"/>
          <w:szCs w:val="22"/>
        </w:rPr>
        <w:t xml:space="preserve">(CHF) </w:t>
      </w:r>
      <w:r w:rsidR="00E6353F" w:rsidRPr="00E6353F">
        <w:rPr>
          <w:sz w:val="22"/>
          <w:szCs w:val="22"/>
        </w:rPr>
        <w:t xml:space="preserve">flow and heat transfer, </w:t>
      </w:r>
      <w:r w:rsidR="005D2191">
        <w:rPr>
          <w:sz w:val="22"/>
          <w:szCs w:val="22"/>
        </w:rPr>
        <w:t xml:space="preserve">(liquid droplet) </w:t>
      </w:r>
      <w:r w:rsidR="00E6353F" w:rsidRPr="00E6353F">
        <w:rPr>
          <w:sz w:val="22"/>
          <w:szCs w:val="22"/>
        </w:rPr>
        <w:t xml:space="preserve">entrainment, quench) remains a major contributor to code uncertainties in the simulation of accident and must be more deeply understood to enhance nuclear safety. </w:t>
      </w:r>
      <w:r w:rsidR="007260CB">
        <w:rPr>
          <w:sz w:val="22"/>
          <w:szCs w:val="22"/>
        </w:rPr>
        <w:t>A</w:t>
      </w:r>
      <w:r w:rsidR="00E6353F" w:rsidRPr="00E6353F">
        <w:rPr>
          <w:sz w:val="22"/>
          <w:szCs w:val="22"/>
        </w:rPr>
        <w:t xml:space="preserve">s nuclear industry evolves, there is a need for additional data for power up-rates and new </w:t>
      </w:r>
      <w:r w:rsidR="005D2191">
        <w:rPr>
          <w:sz w:val="22"/>
          <w:szCs w:val="22"/>
        </w:rPr>
        <w:t xml:space="preserve">reactor </w:t>
      </w:r>
      <w:r w:rsidR="00E6353F" w:rsidRPr="00E6353F">
        <w:rPr>
          <w:sz w:val="22"/>
          <w:szCs w:val="22"/>
        </w:rPr>
        <w:t>designs.</w:t>
      </w:r>
    </w:p>
    <w:p w14:paraId="433E6E61" w14:textId="5109C015" w:rsidR="00E6353F" w:rsidRPr="00E6353F" w:rsidRDefault="00E6353F" w:rsidP="00E6353F">
      <w:pPr>
        <w:pStyle w:val="BodyTextIndent"/>
        <w:rPr>
          <w:sz w:val="22"/>
          <w:szCs w:val="22"/>
        </w:rPr>
      </w:pPr>
      <w:r w:rsidRPr="00E6353F">
        <w:rPr>
          <w:sz w:val="22"/>
          <w:szCs w:val="22"/>
        </w:rPr>
        <w:t xml:space="preserve">Reflood heat transfer and rod bundle </w:t>
      </w:r>
      <w:r w:rsidR="005D2191">
        <w:rPr>
          <w:sz w:val="22"/>
          <w:szCs w:val="22"/>
        </w:rPr>
        <w:t>T/H</w:t>
      </w:r>
      <w:r w:rsidRPr="00E6353F">
        <w:rPr>
          <w:sz w:val="22"/>
          <w:szCs w:val="22"/>
        </w:rPr>
        <w:t xml:space="preserve"> have been studied since 1960s when concerns </w:t>
      </w:r>
      <w:r w:rsidR="007260CB" w:rsidRPr="00E6353F">
        <w:rPr>
          <w:sz w:val="22"/>
          <w:szCs w:val="22"/>
        </w:rPr>
        <w:t xml:space="preserve">were raised </w:t>
      </w:r>
      <w:r w:rsidR="007260CB">
        <w:rPr>
          <w:sz w:val="22"/>
          <w:szCs w:val="22"/>
        </w:rPr>
        <w:t>on</w:t>
      </w:r>
      <w:r w:rsidR="007260CB" w:rsidRPr="00E6353F">
        <w:rPr>
          <w:sz w:val="22"/>
          <w:szCs w:val="22"/>
        </w:rPr>
        <w:t xml:space="preserve"> </w:t>
      </w:r>
      <w:r w:rsidRPr="00E6353F">
        <w:rPr>
          <w:sz w:val="22"/>
          <w:szCs w:val="22"/>
        </w:rPr>
        <w:t xml:space="preserve">the effectiveness of Emergency Core Cooling System (ECCS) of </w:t>
      </w:r>
      <w:r w:rsidR="005D2191">
        <w:rPr>
          <w:sz w:val="22"/>
          <w:szCs w:val="22"/>
        </w:rPr>
        <w:t>NPP</w:t>
      </w:r>
      <w:r w:rsidRPr="00E6353F">
        <w:rPr>
          <w:sz w:val="22"/>
          <w:szCs w:val="22"/>
        </w:rPr>
        <w:t xml:space="preserve">. Reflood </w:t>
      </w:r>
      <w:r w:rsidR="005D2191">
        <w:rPr>
          <w:sz w:val="22"/>
          <w:szCs w:val="22"/>
        </w:rPr>
        <w:t>T/H</w:t>
      </w:r>
      <w:r w:rsidRPr="00E6353F">
        <w:rPr>
          <w:sz w:val="22"/>
          <w:szCs w:val="22"/>
        </w:rPr>
        <w:t xml:space="preserve"> </w:t>
      </w:r>
      <w:r w:rsidR="007260CB">
        <w:rPr>
          <w:sz w:val="22"/>
          <w:szCs w:val="22"/>
        </w:rPr>
        <w:t>has been</w:t>
      </w:r>
      <w:r w:rsidR="007260CB" w:rsidRPr="00E6353F">
        <w:rPr>
          <w:sz w:val="22"/>
          <w:szCs w:val="22"/>
        </w:rPr>
        <w:t xml:space="preserve"> </w:t>
      </w:r>
      <w:r w:rsidRPr="00E6353F">
        <w:rPr>
          <w:sz w:val="22"/>
          <w:szCs w:val="22"/>
        </w:rPr>
        <w:t xml:space="preserve">extensively studied and significant improvements were made in modelling and simulation. With the recent needs to improve further plant operating conditions, efforts to develop more “mechanistic” models for reflood </w:t>
      </w:r>
      <w:r w:rsidR="00032FD9">
        <w:rPr>
          <w:sz w:val="22"/>
          <w:szCs w:val="22"/>
        </w:rPr>
        <w:t>T/H</w:t>
      </w:r>
      <w:r w:rsidRPr="00E6353F">
        <w:rPr>
          <w:sz w:val="22"/>
          <w:szCs w:val="22"/>
        </w:rPr>
        <w:t xml:space="preserve"> have been undertaken; that is, models for physical processes would be based on the fundamental mechanisms that govern </w:t>
      </w:r>
      <w:r w:rsidR="00032FD9">
        <w:rPr>
          <w:sz w:val="22"/>
          <w:szCs w:val="22"/>
        </w:rPr>
        <w:t>T/H</w:t>
      </w:r>
      <w:r w:rsidRPr="00E6353F">
        <w:rPr>
          <w:sz w:val="22"/>
          <w:szCs w:val="22"/>
        </w:rPr>
        <w:t xml:space="preserve"> rather than be based on empirical correlations that were often restricted to a specific range of applicability. While existing reflood experiments had demonstrated the effectiveness of the ECCS and provided information suitable for the development and licensing of evaluation models, a reflood facility with advanced and detailed measurement capabilities </w:t>
      </w:r>
      <w:r w:rsidR="00032FD9">
        <w:rPr>
          <w:sz w:val="22"/>
          <w:szCs w:val="22"/>
        </w:rPr>
        <w:t>should take</w:t>
      </w:r>
      <w:r w:rsidRPr="00E6353F">
        <w:rPr>
          <w:sz w:val="22"/>
          <w:szCs w:val="22"/>
        </w:rPr>
        <w:t xml:space="preserve"> an important next step.</w:t>
      </w:r>
    </w:p>
    <w:p w14:paraId="6576780C" w14:textId="6FC3101B" w:rsidR="009F7DFD" w:rsidRDefault="00E6353F" w:rsidP="005F32EF">
      <w:pPr>
        <w:pStyle w:val="BodyTextIndent"/>
        <w:widowControl w:val="0"/>
        <w:rPr>
          <w:sz w:val="22"/>
          <w:szCs w:val="22"/>
        </w:rPr>
      </w:pPr>
      <w:r w:rsidRPr="00E6353F">
        <w:rPr>
          <w:sz w:val="22"/>
          <w:szCs w:val="22"/>
        </w:rPr>
        <w:t xml:space="preserve">Data from </w:t>
      </w:r>
      <w:r w:rsidR="00032FD9">
        <w:rPr>
          <w:sz w:val="22"/>
          <w:szCs w:val="22"/>
        </w:rPr>
        <w:t>the</w:t>
      </w:r>
      <w:r w:rsidRPr="00E6353F">
        <w:rPr>
          <w:sz w:val="22"/>
          <w:szCs w:val="22"/>
        </w:rPr>
        <w:t xml:space="preserve"> </w:t>
      </w:r>
      <w:r w:rsidR="00032FD9" w:rsidRPr="00E6353F">
        <w:rPr>
          <w:sz w:val="22"/>
          <w:szCs w:val="22"/>
        </w:rPr>
        <w:t xml:space="preserve">RBHT </w:t>
      </w:r>
      <w:r w:rsidR="00032FD9">
        <w:rPr>
          <w:sz w:val="22"/>
          <w:szCs w:val="22"/>
        </w:rPr>
        <w:t xml:space="preserve">test </w:t>
      </w:r>
      <w:r w:rsidRPr="00E6353F">
        <w:rPr>
          <w:sz w:val="22"/>
          <w:szCs w:val="22"/>
        </w:rPr>
        <w:t xml:space="preserve">facility </w:t>
      </w:r>
      <w:r w:rsidR="00032FD9">
        <w:rPr>
          <w:sz w:val="22"/>
          <w:szCs w:val="22"/>
        </w:rPr>
        <w:t>is</w:t>
      </w:r>
      <w:r w:rsidRPr="00E6353F">
        <w:rPr>
          <w:sz w:val="22"/>
          <w:szCs w:val="22"/>
        </w:rPr>
        <w:t xml:space="preserve"> </w:t>
      </w:r>
      <w:r w:rsidR="00032FD9" w:rsidRPr="00E6353F">
        <w:rPr>
          <w:sz w:val="22"/>
          <w:szCs w:val="22"/>
        </w:rPr>
        <w:t>ne</w:t>
      </w:r>
      <w:r w:rsidR="00032FD9">
        <w:rPr>
          <w:sz w:val="22"/>
          <w:szCs w:val="22"/>
        </w:rPr>
        <w:t>cessary</w:t>
      </w:r>
      <w:r w:rsidR="00032FD9" w:rsidRPr="00E6353F">
        <w:rPr>
          <w:sz w:val="22"/>
          <w:szCs w:val="22"/>
        </w:rPr>
        <w:t xml:space="preserve"> </w:t>
      </w:r>
      <w:r w:rsidRPr="00E6353F">
        <w:rPr>
          <w:sz w:val="22"/>
          <w:szCs w:val="22"/>
        </w:rPr>
        <w:t xml:space="preserve">for evaluation of applicant licensing submittals, and for development and assessment of the NRC confirmatory analysis code, and they are of interest to industry, </w:t>
      </w:r>
      <w:r w:rsidRPr="00E6353F">
        <w:rPr>
          <w:sz w:val="22"/>
          <w:szCs w:val="22"/>
        </w:rPr>
        <w:lastRenderedPageBreak/>
        <w:t xml:space="preserve">regulatory bodies, TSO and research </w:t>
      </w:r>
      <w:r w:rsidR="00684383" w:rsidRPr="00E6353F">
        <w:rPr>
          <w:sz w:val="22"/>
          <w:szCs w:val="22"/>
        </w:rPr>
        <w:t>organizations</w:t>
      </w:r>
      <w:r w:rsidRPr="00E6353F">
        <w:rPr>
          <w:sz w:val="22"/>
          <w:szCs w:val="22"/>
        </w:rPr>
        <w:t xml:space="preserve">. </w:t>
      </w:r>
      <w:r w:rsidR="00032FD9">
        <w:rPr>
          <w:sz w:val="22"/>
          <w:szCs w:val="22"/>
        </w:rPr>
        <w:t>T</w:t>
      </w:r>
      <w:r w:rsidRPr="00E6353F">
        <w:rPr>
          <w:sz w:val="22"/>
          <w:szCs w:val="22"/>
        </w:rPr>
        <w:t>he RBHT test facility was designed and constructed in 1998. Research has continued since then, and a wide variety of tests have been conducted</w:t>
      </w:r>
      <w:r w:rsidR="00032FD9">
        <w:rPr>
          <w:sz w:val="22"/>
          <w:szCs w:val="22"/>
        </w:rPr>
        <w:t xml:space="preserve"> to date</w:t>
      </w:r>
      <w:r w:rsidRPr="00E6353F">
        <w:rPr>
          <w:sz w:val="22"/>
          <w:szCs w:val="22"/>
        </w:rPr>
        <w:t>.</w:t>
      </w:r>
    </w:p>
    <w:p w14:paraId="780E6C1C" w14:textId="77777777" w:rsidR="00684383" w:rsidRDefault="00684383" w:rsidP="005F32EF">
      <w:pPr>
        <w:pStyle w:val="BodyTextIndent"/>
        <w:widowControl w:val="0"/>
        <w:rPr>
          <w:b/>
          <w:sz w:val="22"/>
          <w:szCs w:val="22"/>
        </w:rPr>
      </w:pPr>
    </w:p>
    <w:p w14:paraId="2E9A066E" w14:textId="27BC14D1" w:rsidR="00E6353F" w:rsidRPr="005F32EF" w:rsidRDefault="009F7DFD" w:rsidP="005F32EF">
      <w:pPr>
        <w:pStyle w:val="BodyTextIndent"/>
        <w:widowControl w:val="0"/>
        <w:rPr>
          <w:sz w:val="22"/>
          <w:szCs w:val="22"/>
        </w:rPr>
      </w:pPr>
      <w:r w:rsidRPr="00E6353F">
        <w:rPr>
          <w:b/>
          <w:sz w:val="22"/>
          <w:szCs w:val="22"/>
        </w:rPr>
        <w:t>POLCA</w:t>
      </w:r>
      <w:r w:rsidR="00E6353F" w:rsidRPr="00D67441">
        <w:rPr>
          <w:sz w:val="22"/>
          <w:szCs w:val="22"/>
        </w:rPr>
        <w:t xml:space="preserve">, </w:t>
      </w:r>
      <w:r w:rsidR="00E6353F" w:rsidRPr="005F32EF">
        <w:rPr>
          <w:sz w:val="22"/>
          <w:szCs w:val="22"/>
        </w:rPr>
        <w:t xml:space="preserve">POol during Loss of Cooling Accident </w:t>
      </w:r>
      <w:r w:rsidR="00D67441" w:rsidRPr="005F32EF">
        <w:rPr>
          <w:b/>
          <w:bCs/>
          <w:sz w:val="22"/>
          <w:szCs w:val="22"/>
          <w:highlight w:val="green"/>
        </w:rPr>
        <w:t>[</w:t>
      </w:r>
      <w:r w:rsidR="007E2B5E">
        <w:rPr>
          <w:b/>
          <w:bCs/>
          <w:sz w:val="22"/>
          <w:szCs w:val="22"/>
          <w:highlight w:val="green"/>
        </w:rPr>
        <w:t>3</w:t>
      </w:r>
      <w:r w:rsidR="00C43ABC">
        <w:rPr>
          <w:b/>
          <w:bCs/>
          <w:sz w:val="22"/>
          <w:szCs w:val="22"/>
          <w:highlight w:val="green"/>
        </w:rPr>
        <w:t>4</w:t>
      </w:r>
      <w:r w:rsidR="00D67441" w:rsidRPr="005F32EF">
        <w:rPr>
          <w:b/>
          <w:bCs/>
          <w:sz w:val="22"/>
          <w:szCs w:val="22"/>
          <w:highlight w:val="green"/>
        </w:rPr>
        <w:t>]</w:t>
      </w:r>
      <w:r w:rsidR="00D67441" w:rsidRPr="005F32EF">
        <w:rPr>
          <w:sz w:val="22"/>
          <w:szCs w:val="22"/>
        </w:rPr>
        <w:t xml:space="preserve"> </w:t>
      </w:r>
      <w:r w:rsidR="00E6353F" w:rsidRPr="005F32EF">
        <w:rPr>
          <w:sz w:val="22"/>
          <w:szCs w:val="22"/>
        </w:rPr>
        <w:t xml:space="preserve">is under development. </w:t>
      </w:r>
      <w:r w:rsidR="00FA44AC">
        <w:rPr>
          <w:sz w:val="22"/>
          <w:szCs w:val="22"/>
        </w:rPr>
        <w:t>T</w:t>
      </w:r>
      <w:r w:rsidR="00FA44AC" w:rsidRPr="00FA44AC">
        <w:rPr>
          <w:sz w:val="22"/>
          <w:szCs w:val="22"/>
        </w:rPr>
        <w:t>he ASPIC and MIDI facilities at IRSN in Cadarache, France</w:t>
      </w:r>
      <w:r w:rsidR="00FA44AC">
        <w:rPr>
          <w:sz w:val="22"/>
          <w:szCs w:val="22"/>
        </w:rPr>
        <w:t xml:space="preserve"> would be used. </w:t>
      </w:r>
      <w:r w:rsidR="00E6353F" w:rsidRPr="005F32EF">
        <w:rPr>
          <w:sz w:val="22"/>
          <w:szCs w:val="22"/>
        </w:rPr>
        <w:t>A limited number of tests have been performed in the time frame of the project</w:t>
      </w:r>
      <w:r w:rsidR="005A7032">
        <w:rPr>
          <w:sz w:val="22"/>
          <w:szCs w:val="22"/>
        </w:rPr>
        <w:t xml:space="preserve"> </w:t>
      </w:r>
      <w:r w:rsidR="005A7032" w:rsidRPr="005F32EF">
        <w:rPr>
          <w:sz w:val="22"/>
          <w:szCs w:val="22"/>
          <w:highlight w:val="green"/>
        </w:rPr>
        <w:t>[35, 36]</w:t>
      </w:r>
      <w:r w:rsidR="00E6353F" w:rsidRPr="005F32EF">
        <w:rPr>
          <w:sz w:val="22"/>
          <w:szCs w:val="22"/>
          <w:highlight w:val="green"/>
        </w:rPr>
        <w:t>.</w:t>
      </w:r>
      <w:r w:rsidR="00E6353F" w:rsidRPr="005F32EF">
        <w:rPr>
          <w:sz w:val="22"/>
          <w:szCs w:val="22"/>
        </w:rPr>
        <w:t xml:space="preserve"> The POLCA project would pursue the experimental analysis of the behavior of spent fuel pools in </w:t>
      </w:r>
      <w:r w:rsidR="008651F2">
        <w:rPr>
          <w:sz w:val="22"/>
          <w:szCs w:val="22"/>
        </w:rPr>
        <w:t>LOCA</w:t>
      </w:r>
      <w:r w:rsidR="00E6353F" w:rsidRPr="005F32EF">
        <w:rPr>
          <w:sz w:val="22"/>
          <w:szCs w:val="22"/>
        </w:rPr>
        <w:t xml:space="preserve"> conditions. </w:t>
      </w:r>
    </w:p>
    <w:p w14:paraId="65F57DCE" w14:textId="77777777" w:rsidR="00E6353F" w:rsidRPr="005F32EF" w:rsidRDefault="00E6353F" w:rsidP="005F32EF">
      <w:pPr>
        <w:pStyle w:val="BodyTextIndent"/>
        <w:widowControl w:val="0"/>
        <w:rPr>
          <w:sz w:val="22"/>
          <w:szCs w:val="22"/>
        </w:rPr>
      </w:pPr>
      <w:r w:rsidRPr="005F32EF">
        <w:rPr>
          <w:sz w:val="22"/>
          <w:szCs w:val="22"/>
        </w:rPr>
        <w:t xml:space="preserve">The objective of a potential future experimental program is: </w:t>
      </w:r>
    </w:p>
    <w:p w14:paraId="15E82B7E" w14:textId="2AB991E6" w:rsidR="00E6353F" w:rsidRPr="00E6353F" w:rsidRDefault="00E6353F" w:rsidP="005F32EF">
      <w:pPr>
        <w:pStyle w:val="BodyTextIndent"/>
        <w:widowControl w:val="0"/>
        <w:numPr>
          <w:ilvl w:val="0"/>
          <w:numId w:val="4"/>
        </w:numPr>
        <w:tabs>
          <w:tab w:val="left" w:pos="990"/>
        </w:tabs>
        <w:ind w:left="567"/>
        <w:rPr>
          <w:sz w:val="22"/>
          <w:szCs w:val="22"/>
        </w:rPr>
      </w:pPr>
      <w:r w:rsidRPr="00D67441">
        <w:rPr>
          <w:sz w:val="22"/>
          <w:szCs w:val="22"/>
        </w:rPr>
        <w:t>to enhance knowledge</w:t>
      </w:r>
      <w:r w:rsidRPr="00E6353F">
        <w:rPr>
          <w:sz w:val="22"/>
          <w:szCs w:val="22"/>
        </w:rPr>
        <w:t xml:space="preserve"> on accidental SFP and to provide thermal hydraulics data; </w:t>
      </w:r>
    </w:p>
    <w:p w14:paraId="06D94A95" w14:textId="27892FCF" w:rsidR="00E6353F" w:rsidRPr="00E6353F" w:rsidRDefault="00E6353F" w:rsidP="005F32EF">
      <w:pPr>
        <w:pStyle w:val="BodyTextIndent"/>
        <w:numPr>
          <w:ilvl w:val="0"/>
          <w:numId w:val="4"/>
        </w:numPr>
        <w:tabs>
          <w:tab w:val="left" w:pos="990"/>
        </w:tabs>
        <w:ind w:left="567"/>
        <w:rPr>
          <w:sz w:val="22"/>
          <w:szCs w:val="22"/>
        </w:rPr>
      </w:pPr>
      <w:r w:rsidRPr="00E6353F">
        <w:rPr>
          <w:sz w:val="22"/>
          <w:szCs w:val="22"/>
        </w:rPr>
        <w:t>to support the ther</w:t>
      </w:r>
      <w:r w:rsidR="00684383">
        <w:rPr>
          <w:sz w:val="22"/>
          <w:szCs w:val="22"/>
        </w:rPr>
        <w:t>mo</w:t>
      </w:r>
      <w:r w:rsidR="008651F2">
        <w:rPr>
          <w:sz w:val="22"/>
          <w:szCs w:val="22"/>
        </w:rPr>
        <w:t>-</w:t>
      </w:r>
      <w:r w:rsidRPr="00E6353F">
        <w:rPr>
          <w:sz w:val="22"/>
          <w:szCs w:val="22"/>
        </w:rPr>
        <w:t xml:space="preserve">hydraulics model development and validation for SFP under loss of cooling accident; </w:t>
      </w:r>
    </w:p>
    <w:p w14:paraId="590EE662" w14:textId="7D72E9D3" w:rsidR="00E6353F" w:rsidRPr="00E6353F" w:rsidRDefault="00E6353F" w:rsidP="005F32EF">
      <w:pPr>
        <w:pStyle w:val="BodyTextIndent"/>
        <w:numPr>
          <w:ilvl w:val="0"/>
          <w:numId w:val="4"/>
        </w:numPr>
        <w:tabs>
          <w:tab w:val="left" w:pos="990"/>
        </w:tabs>
        <w:ind w:left="567"/>
        <w:rPr>
          <w:sz w:val="22"/>
          <w:szCs w:val="22"/>
        </w:rPr>
      </w:pPr>
      <w:r w:rsidRPr="00E6353F">
        <w:rPr>
          <w:sz w:val="22"/>
          <w:szCs w:val="22"/>
        </w:rPr>
        <w:t xml:space="preserve">to evaluate some mitigation strategies concerning assembly management. </w:t>
      </w:r>
    </w:p>
    <w:p w14:paraId="4E9D68FD" w14:textId="33A89670" w:rsidR="009F7DFD" w:rsidRDefault="00E6353F" w:rsidP="00A30434">
      <w:pPr>
        <w:pStyle w:val="BodyTextIndent"/>
        <w:tabs>
          <w:tab w:val="left" w:pos="990"/>
        </w:tabs>
        <w:rPr>
          <w:sz w:val="22"/>
          <w:szCs w:val="22"/>
        </w:rPr>
      </w:pPr>
      <w:r w:rsidRPr="00E6353F">
        <w:rPr>
          <w:sz w:val="22"/>
          <w:szCs w:val="22"/>
        </w:rPr>
        <w:t xml:space="preserve">The POLCA project is proposed to focus on </w:t>
      </w:r>
      <w:r w:rsidR="00FA44AC" w:rsidRPr="00E6353F">
        <w:rPr>
          <w:sz w:val="22"/>
          <w:szCs w:val="22"/>
        </w:rPr>
        <w:t>experiment</w:t>
      </w:r>
      <w:r w:rsidR="00FA44AC">
        <w:rPr>
          <w:sz w:val="22"/>
          <w:szCs w:val="22"/>
        </w:rPr>
        <w:t>s</w:t>
      </w:r>
      <w:r w:rsidR="00FA44AC" w:rsidRPr="00E6353F">
        <w:rPr>
          <w:sz w:val="22"/>
          <w:szCs w:val="22"/>
        </w:rPr>
        <w:t xml:space="preserve"> </w:t>
      </w:r>
      <w:r w:rsidR="00FA44AC">
        <w:rPr>
          <w:sz w:val="22"/>
          <w:szCs w:val="22"/>
        </w:rPr>
        <w:t xml:space="preserve">at the </w:t>
      </w:r>
      <w:r w:rsidRPr="00E6353F">
        <w:rPr>
          <w:sz w:val="22"/>
          <w:szCs w:val="22"/>
        </w:rPr>
        <w:t>MIDI and ASPIC</w:t>
      </w:r>
      <w:r w:rsidR="00FA44AC">
        <w:rPr>
          <w:sz w:val="22"/>
          <w:szCs w:val="22"/>
        </w:rPr>
        <w:t xml:space="preserve"> </w:t>
      </w:r>
      <w:r w:rsidR="00FA44AC" w:rsidRPr="00E6353F">
        <w:rPr>
          <w:sz w:val="22"/>
          <w:szCs w:val="22"/>
        </w:rPr>
        <w:t>large</w:t>
      </w:r>
      <w:r w:rsidR="00FA44AC">
        <w:rPr>
          <w:sz w:val="22"/>
          <w:szCs w:val="22"/>
        </w:rPr>
        <w:t>-</w:t>
      </w:r>
      <w:r w:rsidR="00FA44AC" w:rsidRPr="00E6353F">
        <w:rPr>
          <w:sz w:val="22"/>
          <w:szCs w:val="22"/>
        </w:rPr>
        <w:t>scale facilities</w:t>
      </w:r>
      <w:r w:rsidRPr="00E6353F">
        <w:rPr>
          <w:sz w:val="22"/>
          <w:szCs w:val="22"/>
        </w:rPr>
        <w:t xml:space="preserve"> with dedicated instrumentation on thermohydraulic behavior of SFP during </w:t>
      </w:r>
      <w:r w:rsidR="00FA44AC">
        <w:rPr>
          <w:sz w:val="22"/>
          <w:szCs w:val="22"/>
        </w:rPr>
        <w:t>a LOCA</w:t>
      </w:r>
      <w:r w:rsidRPr="00E6353F">
        <w:rPr>
          <w:sz w:val="22"/>
          <w:szCs w:val="22"/>
        </w:rPr>
        <w:t xml:space="preserve">. The project will contribute to the enrichment of an experimental database, useful to improve thermohydraulic numerical tools in pool conditions. </w:t>
      </w:r>
    </w:p>
    <w:p w14:paraId="77A8C889" w14:textId="21221A52" w:rsidR="00D41578" w:rsidRDefault="00D41578" w:rsidP="00A30434">
      <w:pPr>
        <w:pStyle w:val="BodyTextIndent"/>
        <w:tabs>
          <w:tab w:val="left" w:pos="990"/>
        </w:tabs>
        <w:rPr>
          <w:sz w:val="22"/>
          <w:szCs w:val="22"/>
        </w:rPr>
      </w:pPr>
    </w:p>
    <w:p w14:paraId="2EE535F9" w14:textId="1ECFF0EC" w:rsidR="00781B6A" w:rsidRPr="00BB7497" w:rsidRDefault="00781B6A" w:rsidP="00A73779">
      <w:pPr>
        <w:pStyle w:val="AbstractClauseTitle"/>
        <w:jc w:val="left"/>
        <w:rPr>
          <w:rFonts w:ascii="Times New Roman" w:hAnsi="Times New Roman"/>
          <w:caps w:val="0"/>
          <w:sz w:val="22"/>
          <w:szCs w:val="22"/>
        </w:rPr>
      </w:pPr>
      <w:r w:rsidRPr="00BB7497">
        <w:rPr>
          <w:rFonts w:ascii="Times New Roman" w:hAnsi="Times New Roman"/>
          <w:caps w:val="0"/>
          <w:sz w:val="22"/>
          <w:szCs w:val="22"/>
        </w:rPr>
        <w:t>V</w:t>
      </w:r>
      <w:r w:rsidR="00AF37DC">
        <w:rPr>
          <w:rFonts w:ascii="Times New Roman" w:hAnsi="Times New Roman"/>
          <w:caps w:val="0"/>
          <w:sz w:val="22"/>
          <w:szCs w:val="22"/>
        </w:rPr>
        <w:t>I</w:t>
      </w:r>
      <w:r w:rsidRPr="00BB7497">
        <w:rPr>
          <w:rFonts w:ascii="Times New Roman" w:hAnsi="Times New Roman"/>
          <w:caps w:val="0"/>
          <w:sz w:val="22"/>
          <w:szCs w:val="22"/>
        </w:rPr>
        <w:t xml:space="preserve">. </w:t>
      </w:r>
      <w:r w:rsidR="00A73779" w:rsidRPr="00BB7497">
        <w:rPr>
          <w:rFonts w:ascii="Times New Roman" w:hAnsi="Times New Roman"/>
          <w:caps w:val="0"/>
          <w:sz w:val="22"/>
          <w:szCs w:val="22"/>
        </w:rPr>
        <w:t>Conclusions</w:t>
      </w:r>
    </w:p>
    <w:p w14:paraId="3958A668" w14:textId="166C72F7" w:rsidR="008374E0" w:rsidRDefault="00645358" w:rsidP="005F32EF">
      <w:pPr>
        <w:pStyle w:val="BodyTextIndent"/>
      </w:pPr>
      <w:r w:rsidRPr="00645358">
        <w:rPr>
          <w:sz w:val="22"/>
          <w:szCs w:val="22"/>
        </w:rPr>
        <w:t xml:space="preserve">International co-operation is </w:t>
      </w:r>
      <w:r w:rsidR="00AF37DC">
        <w:rPr>
          <w:sz w:val="22"/>
          <w:szCs w:val="22"/>
        </w:rPr>
        <w:t xml:space="preserve">the </w:t>
      </w:r>
      <w:r w:rsidRPr="00645358">
        <w:rPr>
          <w:sz w:val="22"/>
          <w:szCs w:val="22"/>
        </w:rPr>
        <w:t xml:space="preserve">key for ever-enhanced global nuclear safety. In this regard, the </w:t>
      </w:r>
      <w:r w:rsidR="00684383">
        <w:rPr>
          <w:sz w:val="22"/>
          <w:szCs w:val="22"/>
        </w:rPr>
        <w:t>WGAMA</w:t>
      </w:r>
      <w:r w:rsidRPr="00645358">
        <w:rPr>
          <w:sz w:val="22"/>
          <w:szCs w:val="22"/>
        </w:rPr>
        <w:t xml:space="preserve"> </w:t>
      </w:r>
      <w:r w:rsidR="00AF37DC">
        <w:rPr>
          <w:sz w:val="22"/>
          <w:szCs w:val="22"/>
        </w:rPr>
        <w:t xml:space="preserve">as one of the </w:t>
      </w:r>
      <w:r w:rsidR="00D463CC">
        <w:rPr>
          <w:sz w:val="22"/>
          <w:szCs w:val="22"/>
        </w:rPr>
        <w:t>NEA/</w:t>
      </w:r>
      <w:r w:rsidR="00AF37DC">
        <w:rPr>
          <w:sz w:val="22"/>
          <w:szCs w:val="22"/>
        </w:rPr>
        <w:t xml:space="preserve">CSNI eleven WGs </w:t>
      </w:r>
      <w:r w:rsidRPr="00645358">
        <w:rPr>
          <w:sz w:val="22"/>
          <w:szCs w:val="22"/>
        </w:rPr>
        <w:t xml:space="preserve">continues to advance its scientific and technological knowledge base needed for the prevention, mitigation and management of potential accidents in </w:t>
      </w:r>
      <w:r w:rsidR="00D463CC">
        <w:rPr>
          <w:sz w:val="22"/>
          <w:szCs w:val="22"/>
        </w:rPr>
        <w:t>NPP</w:t>
      </w:r>
      <w:r w:rsidRPr="00645358">
        <w:rPr>
          <w:sz w:val="22"/>
          <w:szCs w:val="22"/>
        </w:rPr>
        <w:t xml:space="preserve">s, and to </w:t>
      </w:r>
      <w:r w:rsidRPr="005F32EF">
        <w:rPr>
          <w:sz w:val="22"/>
          <w:szCs w:val="22"/>
        </w:rPr>
        <w:t xml:space="preserve">facilitate international convergence on safety issues and strategies for </w:t>
      </w:r>
      <w:r w:rsidR="00F10D31" w:rsidRPr="005F32EF">
        <w:rPr>
          <w:sz w:val="22"/>
          <w:szCs w:val="22"/>
        </w:rPr>
        <w:t xml:space="preserve">the </w:t>
      </w:r>
      <w:r w:rsidRPr="005F32EF">
        <w:rPr>
          <w:sz w:val="22"/>
          <w:szCs w:val="22"/>
        </w:rPr>
        <w:t>analyses and management of accidents.</w:t>
      </w:r>
      <w:r w:rsidR="008374E0" w:rsidRPr="005F32EF">
        <w:rPr>
          <w:sz w:val="22"/>
          <w:szCs w:val="22"/>
        </w:rPr>
        <w:t xml:space="preserve"> The WGAMA efforts, experiences and achievements for the safety assessment of operating NPPs including SA aspects will be of great help for the continuous safety improvements required for the advanced reactors including SMRs.</w:t>
      </w:r>
    </w:p>
    <w:p w14:paraId="3AD709BC" w14:textId="77777777" w:rsidR="008374E0" w:rsidRPr="00BB7497" w:rsidRDefault="008374E0">
      <w:pPr>
        <w:pStyle w:val="BodyTextIndent"/>
        <w:rPr>
          <w:sz w:val="22"/>
          <w:szCs w:val="22"/>
        </w:rPr>
      </w:pPr>
    </w:p>
    <w:p w14:paraId="4C304CDC" w14:textId="3900EC4C" w:rsidR="00781B6A" w:rsidRPr="00BB7497" w:rsidRDefault="00A73779" w:rsidP="00A73779">
      <w:pPr>
        <w:pStyle w:val="AcknowledgmentsClauseTitle"/>
        <w:jc w:val="left"/>
        <w:rPr>
          <w:rFonts w:ascii="Times New Roman" w:hAnsi="Times New Roman"/>
          <w:sz w:val="22"/>
          <w:szCs w:val="22"/>
        </w:rPr>
      </w:pPr>
      <w:r w:rsidRPr="00BB7497">
        <w:rPr>
          <w:rFonts w:ascii="Times New Roman" w:hAnsi="Times New Roman"/>
          <w:caps w:val="0"/>
          <w:sz w:val="22"/>
          <w:szCs w:val="22"/>
        </w:rPr>
        <w:t>Acknowledgments</w:t>
      </w:r>
    </w:p>
    <w:p w14:paraId="78FBCD6B" w14:textId="32DA6FB7" w:rsidR="00781B6A" w:rsidRPr="00BB7497" w:rsidRDefault="00150D94" w:rsidP="005F32EF">
      <w:pPr>
        <w:pStyle w:val="BodyTextIndent"/>
        <w:widowControl w:val="0"/>
        <w:rPr>
          <w:sz w:val="22"/>
          <w:szCs w:val="22"/>
        </w:rPr>
      </w:pPr>
      <w:r w:rsidRPr="00150D94">
        <w:rPr>
          <w:sz w:val="22"/>
          <w:szCs w:val="22"/>
        </w:rPr>
        <w:t xml:space="preserve">The NEA </w:t>
      </w:r>
      <w:r w:rsidR="00D463CC">
        <w:rPr>
          <w:sz w:val="22"/>
          <w:szCs w:val="22"/>
        </w:rPr>
        <w:t xml:space="preserve">/ </w:t>
      </w:r>
      <w:r w:rsidRPr="00150D94">
        <w:rPr>
          <w:sz w:val="22"/>
          <w:szCs w:val="22"/>
        </w:rPr>
        <w:t xml:space="preserve">CSNI and the WGAMA, wish to acknowledge the significant contributions of those individuals who had a key role and leadership in the conduct and success of the activities described in this report, in particular bureau members including past </w:t>
      </w:r>
      <w:r w:rsidRPr="00150D94">
        <w:rPr>
          <w:sz w:val="22"/>
          <w:szCs w:val="22"/>
        </w:rPr>
        <w:t>chairs, task leaders, contributors and members, as well as secretaries, for their selfless contributions.</w:t>
      </w:r>
      <w:r w:rsidR="00935476">
        <w:rPr>
          <w:sz w:val="22"/>
          <w:szCs w:val="22"/>
        </w:rPr>
        <w:t xml:space="preserve"> </w:t>
      </w:r>
      <w:r w:rsidR="00913AC4">
        <w:rPr>
          <w:sz w:val="22"/>
          <w:szCs w:val="22"/>
        </w:rPr>
        <w:t xml:space="preserve">Particularly </w:t>
      </w:r>
      <w:r w:rsidR="00913AC4" w:rsidRPr="00913AC4">
        <w:rPr>
          <w:sz w:val="22"/>
          <w:szCs w:val="22"/>
        </w:rPr>
        <w:t xml:space="preserve">the </w:t>
      </w:r>
      <w:r w:rsidR="00935476" w:rsidRPr="00913AC4">
        <w:rPr>
          <w:sz w:val="22"/>
          <w:szCs w:val="22"/>
        </w:rPr>
        <w:t>CFD</w:t>
      </w:r>
      <w:r w:rsidR="00D463CC">
        <w:rPr>
          <w:sz w:val="22"/>
          <w:szCs w:val="22"/>
        </w:rPr>
        <w:t>-TG</w:t>
      </w:r>
      <w:r w:rsidR="00935476" w:rsidRPr="00913AC4">
        <w:rPr>
          <w:sz w:val="22"/>
          <w:szCs w:val="22"/>
        </w:rPr>
        <w:t xml:space="preserve"> leaders and members, </w:t>
      </w:r>
      <w:r w:rsidR="00913AC4" w:rsidRPr="00913AC4">
        <w:rPr>
          <w:sz w:val="22"/>
          <w:szCs w:val="22"/>
        </w:rPr>
        <w:t>the operating agents</w:t>
      </w:r>
      <w:r w:rsidR="00913AC4">
        <w:rPr>
          <w:sz w:val="22"/>
          <w:szCs w:val="22"/>
        </w:rPr>
        <w:t xml:space="preserve"> and the </w:t>
      </w:r>
      <w:r w:rsidR="00935476" w:rsidRPr="00913AC4">
        <w:rPr>
          <w:sz w:val="22"/>
          <w:szCs w:val="22"/>
        </w:rPr>
        <w:t>participants</w:t>
      </w:r>
      <w:r w:rsidR="00D463CC" w:rsidRPr="00913AC4">
        <w:rPr>
          <w:sz w:val="22"/>
          <w:szCs w:val="22"/>
        </w:rPr>
        <w:t xml:space="preserve"> of </w:t>
      </w:r>
      <w:r w:rsidR="00D463CC">
        <w:rPr>
          <w:sz w:val="22"/>
          <w:szCs w:val="22"/>
        </w:rPr>
        <w:t>JPs</w:t>
      </w:r>
      <w:r w:rsidR="00935476" w:rsidRPr="00913AC4">
        <w:rPr>
          <w:sz w:val="22"/>
          <w:szCs w:val="22"/>
        </w:rPr>
        <w:t>.</w:t>
      </w:r>
      <w:r w:rsidR="00935476">
        <w:rPr>
          <w:sz w:val="22"/>
          <w:szCs w:val="22"/>
        </w:rPr>
        <w:t xml:space="preserve"> </w:t>
      </w:r>
    </w:p>
    <w:p w14:paraId="648F3D9F" w14:textId="6938E6B1" w:rsidR="00C9322D" w:rsidRPr="002A053A" w:rsidRDefault="00162265" w:rsidP="005F32EF">
      <w:pPr>
        <w:pStyle w:val="AcknowledgmentsClauseTitle"/>
        <w:widowControl w:val="0"/>
        <w:jc w:val="left"/>
        <w:rPr>
          <w:rFonts w:ascii="Times New Roman" w:hAnsi="Times New Roman"/>
          <w:caps w:val="0"/>
          <w:sz w:val="22"/>
          <w:szCs w:val="22"/>
        </w:rPr>
      </w:pPr>
      <w:r>
        <w:rPr>
          <w:rFonts w:ascii="Times New Roman" w:hAnsi="Times New Roman"/>
          <w:caps w:val="0"/>
          <w:sz w:val="22"/>
          <w:szCs w:val="22"/>
        </w:rPr>
        <w:t>Acronyms</w:t>
      </w:r>
    </w:p>
    <w:p w14:paraId="5AD96160" w14:textId="3155C172" w:rsidR="00954FB6" w:rsidRDefault="00954FB6" w:rsidP="00D03716">
      <w:pPr>
        <w:pStyle w:val="BodyTextIndent"/>
        <w:widowControl w:val="0"/>
        <w:tabs>
          <w:tab w:val="left" w:pos="1080"/>
        </w:tabs>
        <w:ind w:left="849" w:hangingChars="386" w:hanging="849"/>
        <w:rPr>
          <w:sz w:val="22"/>
          <w:szCs w:val="22"/>
        </w:rPr>
      </w:pPr>
      <w:r>
        <w:rPr>
          <w:sz w:val="22"/>
          <w:szCs w:val="22"/>
        </w:rPr>
        <w:t>AI</w:t>
      </w:r>
      <w:r>
        <w:rPr>
          <w:sz w:val="22"/>
          <w:szCs w:val="22"/>
        </w:rPr>
        <w:tab/>
        <w:t>artificial intelligence</w:t>
      </w:r>
    </w:p>
    <w:p w14:paraId="0FFC1FBE" w14:textId="00FC8C23" w:rsidR="00150D94" w:rsidRPr="00E11F0A" w:rsidRDefault="00150D94" w:rsidP="005F32EF">
      <w:pPr>
        <w:pStyle w:val="BodyTextIndent"/>
        <w:widowControl w:val="0"/>
        <w:tabs>
          <w:tab w:val="left" w:pos="1080"/>
        </w:tabs>
        <w:ind w:left="849" w:hangingChars="386" w:hanging="849"/>
        <w:rPr>
          <w:sz w:val="22"/>
          <w:szCs w:val="22"/>
        </w:rPr>
      </w:pPr>
      <w:r w:rsidRPr="00E11F0A">
        <w:rPr>
          <w:sz w:val="22"/>
          <w:szCs w:val="22"/>
        </w:rPr>
        <w:t>AM</w:t>
      </w:r>
      <w:r w:rsidRPr="00E11F0A">
        <w:rPr>
          <w:sz w:val="22"/>
          <w:szCs w:val="22"/>
        </w:rPr>
        <w:tab/>
      </w:r>
      <w:r w:rsidR="008670B2">
        <w:rPr>
          <w:sz w:val="22"/>
          <w:szCs w:val="22"/>
        </w:rPr>
        <w:t>a</w:t>
      </w:r>
      <w:r w:rsidRPr="00E11F0A">
        <w:rPr>
          <w:sz w:val="22"/>
          <w:szCs w:val="22"/>
        </w:rPr>
        <w:t>ccident management</w:t>
      </w:r>
    </w:p>
    <w:p w14:paraId="68AD7990" w14:textId="7398C738" w:rsidR="00150D94" w:rsidRDefault="00150D94" w:rsidP="005F32EF">
      <w:pPr>
        <w:pStyle w:val="BodyTextIndent"/>
        <w:widowControl w:val="0"/>
        <w:tabs>
          <w:tab w:val="left" w:pos="1080"/>
        </w:tabs>
        <w:ind w:left="849" w:hangingChars="386" w:hanging="849"/>
        <w:rPr>
          <w:sz w:val="22"/>
          <w:szCs w:val="22"/>
        </w:rPr>
      </w:pPr>
      <w:r w:rsidRPr="00E11F0A">
        <w:rPr>
          <w:sz w:val="22"/>
          <w:szCs w:val="22"/>
        </w:rPr>
        <w:t xml:space="preserve">ATLAS </w:t>
      </w:r>
      <w:r w:rsidRPr="00E11F0A">
        <w:rPr>
          <w:sz w:val="22"/>
          <w:szCs w:val="22"/>
        </w:rPr>
        <w:tab/>
        <w:t xml:space="preserve">Advanced Thermal-hydraulic Test Loop for Accident Simulation </w:t>
      </w:r>
    </w:p>
    <w:p w14:paraId="7AC2F63B" w14:textId="06ADB70D" w:rsidR="00E67155" w:rsidRPr="00E11F0A" w:rsidRDefault="00E67155" w:rsidP="005F32EF">
      <w:pPr>
        <w:pStyle w:val="BodyTextIndent"/>
        <w:widowControl w:val="0"/>
        <w:tabs>
          <w:tab w:val="left" w:pos="1080"/>
        </w:tabs>
        <w:ind w:left="849" w:hangingChars="386" w:hanging="849"/>
        <w:rPr>
          <w:sz w:val="22"/>
          <w:szCs w:val="22"/>
        </w:rPr>
      </w:pPr>
      <w:r>
        <w:rPr>
          <w:rFonts w:hint="eastAsia"/>
          <w:sz w:val="22"/>
          <w:szCs w:val="22"/>
        </w:rPr>
        <w:t>B</w:t>
      </w:r>
      <w:r>
        <w:rPr>
          <w:sz w:val="22"/>
          <w:szCs w:val="22"/>
        </w:rPr>
        <w:t>DBA</w:t>
      </w:r>
      <w:r>
        <w:rPr>
          <w:sz w:val="22"/>
          <w:szCs w:val="22"/>
        </w:rPr>
        <w:tab/>
      </w:r>
      <w:r w:rsidR="008670B2">
        <w:rPr>
          <w:sz w:val="22"/>
          <w:szCs w:val="22"/>
        </w:rPr>
        <w:t>b</w:t>
      </w:r>
      <w:r>
        <w:rPr>
          <w:sz w:val="22"/>
          <w:szCs w:val="22"/>
        </w:rPr>
        <w:t xml:space="preserve">eyond </w:t>
      </w:r>
      <w:r w:rsidR="00DD4652">
        <w:rPr>
          <w:sz w:val="22"/>
          <w:szCs w:val="22"/>
        </w:rPr>
        <w:t>d</w:t>
      </w:r>
      <w:r w:rsidRPr="00E11F0A">
        <w:rPr>
          <w:sz w:val="22"/>
          <w:szCs w:val="22"/>
        </w:rPr>
        <w:t>esign basis accident</w:t>
      </w:r>
    </w:p>
    <w:p w14:paraId="536C6942" w14:textId="4DDE3B70" w:rsidR="00150D94" w:rsidRPr="00E11F0A" w:rsidRDefault="00150D94" w:rsidP="005F32EF">
      <w:pPr>
        <w:pStyle w:val="BodyTextIndent"/>
        <w:widowControl w:val="0"/>
        <w:tabs>
          <w:tab w:val="left" w:pos="1080"/>
        </w:tabs>
        <w:ind w:left="849" w:hangingChars="386" w:hanging="849"/>
        <w:rPr>
          <w:sz w:val="22"/>
          <w:szCs w:val="22"/>
        </w:rPr>
      </w:pPr>
      <w:r w:rsidRPr="00E11F0A">
        <w:rPr>
          <w:sz w:val="22"/>
          <w:szCs w:val="22"/>
        </w:rPr>
        <w:t>BEPU</w:t>
      </w:r>
      <w:r w:rsidRPr="00E11F0A">
        <w:rPr>
          <w:sz w:val="22"/>
          <w:szCs w:val="22"/>
        </w:rPr>
        <w:tab/>
      </w:r>
      <w:r w:rsidR="008670B2">
        <w:rPr>
          <w:sz w:val="22"/>
          <w:szCs w:val="22"/>
        </w:rPr>
        <w:t>b</w:t>
      </w:r>
      <w:r w:rsidRPr="00E11F0A">
        <w:rPr>
          <w:sz w:val="22"/>
          <w:szCs w:val="22"/>
        </w:rPr>
        <w:t>est</w:t>
      </w:r>
      <w:r w:rsidR="008670B2">
        <w:rPr>
          <w:sz w:val="22"/>
          <w:szCs w:val="22"/>
        </w:rPr>
        <w:t xml:space="preserve"> </w:t>
      </w:r>
      <w:r w:rsidRPr="00E11F0A">
        <w:rPr>
          <w:sz w:val="22"/>
          <w:szCs w:val="22"/>
        </w:rPr>
        <w:t>estimate plus uncertainty</w:t>
      </w:r>
    </w:p>
    <w:p w14:paraId="264D82F5" w14:textId="70503140" w:rsidR="00533482" w:rsidRPr="00E11F0A" w:rsidRDefault="00533482" w:rsidP="005F32EF">
      <w:pPr>
        <w:pStyle w:val="BodyTextIndent"/>
        <w:widowControl w:val="0"/>
        <w:tabs>
          <w:tab w:val="left" w:pos="1080"/>
        </w:tabs>
        <w:ind w:left="849" w:hangingChars="386" w:hanging="849"/>
        <w:rPr>
          <w:sz w:val="22"/>
          <w:szCs w:val="22"/>
        </w:rPr>
      </w:pPr>
      <w:r>
        <w:rPr>
          <w:rFonts w:hint="eastAsia"/>
          <w:sz w:val="22"/>
          <w:szCs w:val="22"/>
        </w:rPr>
        <w:t>C</w:t>
      </w:r>
      <w:r>
        <w:rPr>
          <w:sz w:val="22"/>
          <w:szCs w:val="22"/>
        </w:rPr>
        <w:t>CVM</w:t>
      </w:r>
      <w:r>
        <w:rPr>
          <w:sz w:val="22"/>
          <w:szCs w:val="22"/>
        </w:rPr>
        <w:tab/>
        <w:t>CSNI Computer Validation Matrix</w:t>
      </w:r>
    </w:p>
    <w:p w14:paraId="1E7BECCC" w14:textId="619B157F" w:rsidR="00150D94" w:rsidRDefault="00150D94" w:rsidP="005F32EF">
      <w:pPr>
        <w:pStyle w:val="BodyTextIndent"/>
        <w:widowControl w:val="0"/>
        <w:tabs>
          <w:tab w:val="left" w:pos="1080"/>
        </w:tabs>
        <w:ind w:left="849" w:hangingChars="386" w:hanging="849"/>
        <w:rPr>
          <w:sz w:val="22"/>
          <w:szCs w:val="22"/>
        </w:rPr>
      </w:pPr>
      <w:r w:rsidRPr="00E11F0A">
        <w:rPr>
          <w:sz w:val="22"/>
          <w:szCs w:val="22"/>
        </w:rPr>
        <w:t>CFD</w:t>
      </w:r>
      <w:r w:rsidRPr="00E11F0A">
        <w:rPr>
          <w:sz w:val="22"/>
          <w:szCs w:val="22"/>
        </w:rPr>
        <w:tab/>
      </w:r>
      <w:r w:rsidR="008670B2">
        <w:rPr>
          <w:sz w:val="22"/>
          <w:szCs w:val="22"/>
        </w:rPr>
        <w:t>c</w:t>
      </w:r>
      <w:r w:rsidRPr="00E11F0A">
        <w:rPr>
          <w:sz w:val="22"/>
          <w:szCs w:val="22"/>
        </w:rPr>
        <w:t>omputational fluid dynamics</w:t>
      </w:r>
    </w:p>
    <w:p w14:paraId="2E3D8FF4" w14:textId="66ED72A7" w:rsidR="007030AC" w:rsidRPr="00E11F0A" w:rsidRDefault="007030AC" w:rsidP="005F32EF">
      <w:pPr>
        <w:pStyle w:val="BodyTextIndent"/>
        <w:widowControl w:val="0"/>
        <w:tabs>
          <w:tab w:val="left" w:pos="1080"/>
        </w:tabs>
        <w:ind w:left="849" w:hangingChars="386" w:hanging="849"/>
        <w:rPr>
          <w:sz w:val="22"/>
          <w:szCs w:val="22"/>
        </w:rPr>
      </w:pPr>
      <w:r>
        <w:rPr>
          <w:rFonts w:hint="eastAsia"/>
          <w:sz w:val="22"/>
          <w:szCs w:val="22"/>
        </w:rPr>
        <w:t>C</w:t>
      </w:r>
      <w:r>
        <w:rPr>
          <w:sz w:val="22"/>
          <w:szCs w:val="22"/>
        </w:rPr>
        <w:t>HF</w:t>
      </w:r>
      <w:r>
        <w:rPr>
          <w:sz w:val="22"/>
          <w:szCs w:val="22"/>
        </w:rPr>
        <w:tab/>
      </w:r>
      <w:r w:rsidRPr="00E6353F">
        <w:rPr>
          <w:sz w:val="22"/>
          <w:szCs w:val="22"/>
        </w:rPr>
        <w:t>critical heat flux</w:t>
      </w:r>
    </w:p>
    <w:p w14:paraId="62863253" w14:textId="22B34447" w:rsidR="00150D94" w:rsidRPr="00E11F0A" w:rsidRDefault="00150D94" w:rsidP="005F32EF">
      <w:pPr>
        <w:pStyle w:val="BodyTextIndent"/>
        <w:widowControl w:val="0"/>
        <w:tabs>
          <w:tab w:val="left" w:pos="1080"/>
        </w:tabs>
        <w:ind w:left="849" w:hangingChars="386" w:hanging="849"/>
        <w:rPr>
          <w:sz w:val="22"/>
          <w:szCs w:val="22"/>
        </w:rPr>
      </w:pPr>
      <w:r w:rsidRPr="00E11F0A">
        <w:rPr>
          <w:sz w:val="22"/>
          <w:szCs w:val="22"/>
        </w:rPr>
        <w:t>CSNI</w:t>
      </w:r>
      <w:r w:rsidRPr="00E11F0A">
        <w:rPr>
          <w:sz w:val="22"/>
          <w:szCs w:val="22"/>
        </w:rPr>
        <w:tab/>
        <w:t>Committee on the Safety of Nuclear Installations</w:t>
      </w:r>
    </w:p>
    <w:p w14:paraId="51458B12" w14:textId="159492DD" w:rsidR="00150D94" w:rsidRPr="00E11F0A" w:rsidRDefault="00150D94" w:rsidP="005F32EF">
      <w:pPr>
        <w:pStyle w:val="BodyTextIndent"/>
        <w:tabs>
          <w:tab w:val="left" w:pos="1080"/>
        </w:tabs>
        <w:ind w:left="849" w:hangingChars="386" w:hanging="849"/>
        <w:rPr>
          <w:sz w:val="22"/>
          <w:szCs w:val="22"/>
        </w:rPr>
      </w:pPr>
      <w:r w:rsidRPr="00E11F0A">
        <w:rPr>
          <w:sz w:val="22"/>
          <w:szCs w:val="22"/>
        </w:rPr>
        <w:t>DBA</w:t>
      </w:r>
      <w:r w:rsidRPr="00E11F0A">
        <w:rPr>
          <w:sz w:val="22"/>
          <w:szCs w:val="22"/>
        </w:rPr>
        <w:tab/>
      </w:r>
      <w:r w:rsidR="008670B2">
        <w:rPr>
          <w:sz w:val="22"/>
          <w:szCs w:val="22"/>
        </w:rPr>
        <w:t>d</w:t>
      </w:r>
      <w:r w:rsidRPr="00E11F0A">
        <w:rPr>
          <w:sz w:val="22"/>
          <w:szCs w:val="22"/>
        </w:rPr>
        <w:t>esign basis accident</w:t>
      </w:r>
    </w:p>
    <w:p w14:paraId="73F5011C" w14:textId="48BB0CE6" w:rsidR="00150D94" w:rsidRPr="00E11F0A" w:rsidRDefault="00150D94" w:rsidP="005F32EF">
      <w:pPr>
        <w:pStyle w:val="BodyTextIndent"/>
        <w:tabs>
          <w:tab w:val="left" w:pos="1080"/>
        </w:tabs>
        <w:ind w:left="849" w:hangingChars="386" w:hanging="849"/>
        <w:rPr>
          <w:sz w:val="22"/>
          <w:szCs w:val="22"/>
        </w:rPr>
      </w:pPr>
      <w:r w:rsidRPr="00E11F0A">
        <w:rPr>
          <w:sz w:val="22"/>
          <w:szCs w:val="22"/>
        </w:rPr>
        <w:t>DEC</w:t>
      </w:r>
      <w:r w:rsidRPr="00E11F0A">
        <w:rPr>
          <w:sz w:val="22"/>
          <w:szCs w:val="22"/>
        </w:rPr>
        <w:tab/>
      </w:r>
      <w:r w:rsidR="008670B2">
        <w:rPr>
          <w:sz w:val="22"/>
          <w:szCs w:val="22"/>
        </w:rPr>
        <w:t>d</w:t>
      </w:r>
      <w:r w:rsidRPr="00E11F0A">
        <w:rPr>
          <w:sz w:val="22"/>
          <w:szCs w:val="22"/>
        </w:rPr>
        <w:t xml:space="preserve">esign </w:t>
      </w:r>
      <w:r w:rsidR="008670B2">
        <w:rPr>
          <w:sz w:val="22"/>
          <w:szCs w:val="22"/>
        </w:rPr>
        <w:t>e</w:t>
      </w:r>
      <w:r w:rsidRPr="00E11F0A">
        <w:rPr>
          <w:sz w:val="22"/>
          <w:szCs w:val="22"/>
        </w:rPr>
        <w:t xml:space="preserve">xtension </w:t>
      </w:r>
      <w:r w:rsidR="008670B2">
        <w:rPr>
          <w:sz w:val="22"/>
          <w:szCs w:val="22"/>
        </w:rPr>
        <w:t>c</w:t>
      </w:r>
      <w:r w:rsidRPr="00E11F0A">
        <w:rPr>
          <w:sz w:val="22"/>
          <w:szCs w:val="22"/>
        </w:rPr>
        <w:t>ondition</w:t>
      </w:r>
    </w:p>
    <w:p w14:paraId="19388BA1" w14:textId="4AEAA081" w:rsidR="00150D94" w:rsidRDefault="00150D94" w:rsidP="007720A1">
      <w:pPr>
        <w:pStyle w:val="BodyTextIndent"/>
        <w:tabs>
          <w:tab w:val="left" w:pos="1080"/>
        </w:tabs>
        <w:ind w:left="849" w:hangingChars="386" w:hanging="849"/>
        <w:rPr>
          <w:sz w:val="22"/>
          <w:szCs w:val="22"/>
        </w:rPr>
      </w:pPr>
      <w:r w:rsidRPr="00E11F0A">
        <w:rPr>
          <w:sz w:val="22"/>
          <w:szCs w:val="22"/>
        </w:rPr>
        <w:t>DNS</w:t>
      </w:r>
      <w:r w:rsidRPr="00E11F0A">
        <w:rPr>
          <w:sz w:val="22"/>
          <w:szCs w:val="22"/>
        </w:rPr>
        <w:tab/>
      </w:r>
      <w:r w:rsidR="008670B2">
        <w:rPr>
          <w:sz w:val="22"/>
          <w:szCs w:val="22"/>
        </w:rPr>
        <w:t>d</w:t>
      </w:r>
      <w:r w:rsidRPr="00E11F0A">
        <w:rPr>
          <w:sz w:val="22"/>
          <w:szCs w:val="22"/>
        </w:rPr>
        <w:t>irect numerical simulation</w:t>
      </w:r>
    </w:p>
    <w:p w14:paraId="60275141" w14:textId="0AA7A045" w:rsidR="007D52EC" w:rsidRDefault="007D52EC" w:rsidP="007720A1">
      <w:pPr>
        <w:pStyle w:val="BodyTextIndent"/>
        <w:tabs>
          <w:tab w:val="left" w:pos="1080"/>
        </w:tabs>
        <w:ind w:left="849" w:hangingChars="386" w:hanging="849"/>
        <w:rPr>
          <w:sz w:val="22"/>
          <w:szCs w:val="22"/>
        </w:rPr>
      </w:pPr>
      <w:r>
        <w:rPr>
          <w:sz w:val="22"/>
          <w:szCs w:val="22"/>
        </w:rPr>
        <w:t>ECCS</w:t>
      </w:r>
      <w:r>
        <w:rPr>
          <w:sz w:val="22"/>
          <w:szCs w:val="22"/>
        </w:rPr>
        <w:tab/>
      </w:r>
      <w:r w:rsidR="008670B2">
        <w:rPr>
          <w:sz w:val="22"/>
          <w:szCs w:val="22"/>
        </w:rPr>
        <w:t>e</w:t>
      </w:r>
      <w:r w:rsidRPr="00E6353F">
        <w:rPr>
          <w:sz w:val="22"/>
          <w:szCs w:val="22"/>
        </w:rPr>
        <w:t xml:space="preserve">mergency </w:t>
      </w:r>
      <w:r w:rsidR="008670B2">
        <w:rPr>
          <w:sz w:val="22"/>
          <w:szCs w:val="22"/>
        </w:rPr>
        <w:t>c</w:t>
      </w:r>
      <w:r w:rsidRPr="00E6353F">
        <w:rPr>
          <w:sz w:val="22"/>
          <w:szCs w:val="22"/>
        </w:rPr>
        <w:t xml:space="preserve">ore </w:t>
      </w:r>
      <w:r w:rsidR="008670B2">
        <w:rPr>
          <w:sz w:val="22"/>
          <w:szCs w:val="22"/>
        </w:rPr>
        <w:t>c</w:t>
      </w:r>
      <w:r w:rsidRPr="00E6353F">
        <w:rPr>
          <w:sz w:val="22"/>
          <w:szCs w:val="22"/>
        </w:rPr>
        <w:t xml:space="preserve">ooling </w:t>
      </w:r>
      <w:r w:rsidR="008670B2">
        <w:rPr>
          <w:sz w:val="22"/>
          <w:szCs w:val="22"/>
        </w:rPr>
        <w:t>s</w:t>
      </w:r>
      <w:r w:rsidRPr="00E6353F">
        <w:rPr>
          <w:sz w:val="22"/>
          <w:szCs w:val="22"/>
        </w:rPr>
        <w:t>ystem</w:t>
      </w:r>
    </w:p>
    <w:p w14:paraId="3927C999" w14:textId="261C639C" w:rsidR="00150D94" w:rsidRPr="00E11F0A" w:rsidRDefault="00150D94" w:rsidP="005F32EF">
      <w:pPr>
        <w:pStyle w:val="BodyTextIndent"/>
        <w:tabs>
          <w:tab w:val="left" w:pos="1080"/>
        </w:tabs>
        <w:ind w:left="849" w:hangingChars="386" w:hanging="849"/>
        <w:rPr>
          <w:sz w:val="22"/>
          <w:szCs w:val="22"/>
        </w:rPr>
      </w:pPr>
      <w:r w:rsidRPr="00E11F0A">
        <w:rPr>
          <w:sz w:val="22"/>
          <w:szCs w:val="22"/>
        </w:rPr>
        <w:t>IET</w:t>
      </w:r>
      <w:r w:rsidRPr="00E11F0A">
        <w:rPr>
          <w:sz w:val="22"/>
          <w:szCs w:val="22"/>
        </w:rPr>
        <w:tab/>
      </w:r>
      <w:r w:rsidR="008670B2">
        <w:rPr>
          <w:sz w:val="22"/>
          <w:szCs w:val="22"/>
        </w:rPr>
        <w:t>i</w:t>
      </w:r>
      <w:r w:rsidRPr="00E11F0A">
        <w:rPr>
          <w:sz w:val="22"/>
          <w:szCs w:val="22"/>
        </w:rPr>
        <w:t>ntegral-effect tests</w:t>
      </w:r>
    </w:p>
    <w:p w14:paraId="466DD26A" w14:textId="18BECDB1" w:rsidR="00150D94" w:rsidRPr="00E11F0A" w:rsidRDefault="00150D94" w:rsidP="005F32EF">
      <w:pPr>
        <w:pStyle w:val="BodyTextIndent"/>
        <w:tabs>
          <w:tab w:val="left" w:pos="1080"/>
        </w:tabs>
        <w:ind w:left="849" w:hangingChars="386" w:hanging="849"/>
        <w:rPr>
          <w:sz w:val="22"/>
          <w:szCs w:val="22"/>
        </w:rPr>
      </w:pPr>
      <w:r w:rsidRPr="00E11F0A">
        <w:rPr>
          <w:sz w:val="22"/>
          <w:szCs w:val="22"/>
        </w:rPr>
        <w:t>ISP</w:t>
      </w:r>
      <w:r w:rsidRPr="00E11F0A">
        <w:rPr>
          <w:sz w:val="22"/>
          <w:szCs w:val="22"/>
        </w:rPr>
        <w:tab/>
      </w:r>
      <w:r w:rsidR="008670B2">
        <w:rPr>
          <w:sz w:val="22"/>
          <w:szCs w:val="22"/>
        </w:rPr>
        <w:t>i</w:t>
      </w:r>
      <w:r w:rsidRPr="00E11F0A">
        <w:rPr>
          <w:sz w:val="22"/>
          <w:szCs w:val="22"/>
        </w:rPr>
        <w:t xml:space="preserve">nternational </w:t>
      </w:r>
      <w:r w:rsidR="008670B2">
        <w:rPr>
          <w:sz w:val="22"/>
          <w:szCs w:val="22"/>
        </w:rPr>
        <w:t>s</w:t>
      </w:r>
      <w:r w:rsidRPr="00E11F0A">
        <w:rPr>
          <w:sz w:val="22"/>
          <w:szCs w:val="22"/>
        </w:rPr>
        <w:t xml:space="preserve">tandard </w:t>
      </w:r>
      <w:r w:rsidR="008670B2">
        <w:rPr>
          <w:sz w:val="22"/>
          <w:szCs w:val="22"/>
        </w:rPr>
        <w:t>p</w:t>
      </w:r>
      <w:r w:rsidRPr="00E11F0A">
        <w:rPr>
          <w:sz w:val="22"/>
          <w:szCs w:val="22"/>
        </w:rPr>
        <w:t>roblem</w:t>
      </w:r>
    </w:p>
    <w:p w14:paraId="7E2E128F" w14:textId="5BAA62FE" w:rsidR="00150D94" w:rsidRDefault="00150D94" w:rsidP="007720A1">
      <w:pPr>
        <w:pStyle w:val="BodyTextIndent"/>
        <w:tabs>
          <w:tab w:val="left" w:pos="1080"/>
        </w:tabs>
        <w:ind w:left="849" w:hangingChars="386" w:hanging="849"/>
        <w:rPr>
          <w:sz w:val="22"/>
          <w:szCs w:val="22"/>
        </w:rPr>
      </w:pPr>
      <w:r w:rsidRPr="00E11F0A">
        <w:rPr>
          <w:sz w:val="22"/>
          <w:szCs w:val="22"/>
        </w:rPr>
        <w:t>JP</w:t>
      </w:r>
      <w:r w:rsidRPr="00E11F0A">
        <w:rPr>
          <w:sz w:val="22"/>
          <w:szCs w:val="22"/>
        </w:rPr>
        <w:tab/>
      </w:r>
      <w:r w:rsidR="008670B2">
        <w:rPr>
          <w:sz w:val="22"/>
          <w:szCs w:val="22"/>
        </w:rPr>
        <w:t>j</w:t>
      </w:r>
      <w:r w:rsidRPr="00E11F0A">
        <w:rPr>
          <w:sz w:val="22"/>
          <w:szCs w:val="22"/>
        </w:rPr>
        <w:t xml:space="preserve">oint </w:t>
      </w:r>
      <w:r w:rsidR="008670B2">
        <w:rPr>
          <w:sz w:val="22"/>
          <w:szCs w:val="22"/>
        </w:rPr>
        <w:t>p</w:t>
      </w:r>
      <w:r w:rsidRPr="00E11F0A">
        <w:rPr>
          <w:sz w:val="22"/>
          <w:szCs w:val="22"/>
        </w:rPr>
        <w:t>roject</w:t>
      </w:r>
    </w:p>
    <w:p w14:paraId="738631DA" w14:textId="0409DC37" w:rsidR="00A52C7E" w:rsidRDefault="00A52C7E" w:rsidP="007720A1">
      <w:pPr>
        <w:pStyle w:val="BodyTextIndent"/>
        <w:tabs>
          <w:tab w:val="left" w:pos="1080"/>
        </w:tabs>
        <w:ind w:left="849" w:hangingChars="386" w:hanging="849"/>
        <w:rPr>
          <w:sz w:val="22"/>
          <w:szCs w:val="22"/>
        </w:rPr>
      </w:pPr>
      <w:r>
        <w:rPr>
          <w:sz w:val="22"/>
          <w:szCs w:val="22"/>
        </w:rPr>
        <w:t>LOCA</w:t>
      </w:r>
      <w:r>
        <w:rPr>
          <w:sz w:val="22"/>
          <w:szCs w:val="22"/>
        </w:rPr>
        <w:tab/>
      </w:r>
      <w:r w:rsidR="008670B2">
        <w:rPr>
          <w:sz w:val="22"/>
          <w:szCs w:val="22"/>
        </w:rPr>
        <w:t>l</w:t>
      </w:r>
      <w:r>
        <w:rPr>
          <w:sz w:val="22"/>
          <w:szCs w:val="22"/>
        </w:rPr>
        <w:t>oss-of-</w:t>
      </w:r>
      <w:r w:rsidR="008670B2">
        <w:rPr>
          <w:sz w:val="22"/>
          <w:szCs w:val="22"/>
        </w:rPr>
        <w:t>c</w:t>
      </w:r>
      <w:r>
        <w:rPr>
          <w:sz w:val="22"/>
          <w:szCs w:val="22"/>
        </w:rPr>
        <w:t xml:space="preserve">oolant </w:t>
      </w:r>
      <w:r w:rsidR="008670B2">
        <w:rPr>
          <w:sz w:val="22"/>
          <w:szCs w:val="22"/>
        </w:rPr>
        <w:t>a</w:t>
      </w:r>
      <w:r>
        <w:rPr>
          <w:sz w:val="22"/>
          <w:szCs w:val="22"/>
        </w:rPr>
        <w:t>ccident</w:t>
      </w:r>
    </w:p>
    <w:p w14:paraId="2727A948" w14:textId="71AE29DA" w:rsidR="00A52C7E" w:rsidRDefault="00A52C7E" w:rsidP="007720A1">
      <w:pPr>
        <w:pStyle w:val="BodyTextIndent"/>
        <w:tabs>
          <w:tab w:val="left" w:pos="1080"/>
        </w:tabs>
        <w:ind w:left="849" w:hangingChars="386" w:hanging="849"/>
        <w:rPr>
          <w:sz w:val="22"/>
          <w:szCs w:val="22"/>
        </w:rPr>
      </w:pPr>
      <w:r>
        <w:rPr>
          <w:rFonts w:hint="eastAsia"/>
          <w:sz w:val="22"/>
          <w:szCs w:val="22"/>
        </w:rPr>
        <w:t>L</w:t>
      </w:r>
      <w:r>
        <w:rPr>
          <w:sz w:val="22"/>
          <w:szCs w:val="22"/>
        </w:rPr>
        <w:t>WR</w:t>
      </w:r>
      <w:r>
        <w:rPr>
          <w:sz w:val="22"/>
          <w:szCs w:val="22"/>
        </w:rPr>
        <w:tab/>
      </w:r>
      <w:r w:rsidR="008670B2">
        <w:rPr>
          <w:sz w:val="22"/>
          <w:szCs w:val="22"/>
        </w:rPr>
        <w:t>l</w:t>
      </w:r>
      <w:r w:rsidRPr="00A52C7E">
        <w:rPr>
          <w:sz w:val="22"/>
          <w:szCs w:val="22"/>
        </w:rPr>
        <w:t>ight water reactors</w:t>
      </w:r>
    </w:p>
    <w:p w14:paraId="29D90A22" w14:textId="42CC595D" w:rsidR="00C43ABC" w:rsidRDefault="00C43ABC" w:rsidP="00C43ABC">
      <w:pPr>
        <w:pStyle w:val="BodyTextIndent"/>
        <w:tabs>
          <w:tab w:val="left" w:pos="1080"/>
        </w:tabs>
        <w:ind w:left="849" w:hangingChars="386" w:hanging="849"/>
        <w:rPr>
          <w:sz w:val="22"/>
          <w:szCs w:val="22"/>
        </w:rPr>
      </w:pPr>
      <w:r>
        <w:rPr>
          <w:sz w:val="22"/>
          <w:szCs w:val="22"/>
        </w:rPr>
        <w:t>MSGTR</w:t>
      </w:r>
      <w:r>
        <w:rPr>
          <w:sz w:val="22"/>
          <w:szCs w:val="22"/>
        </w:rPr>
        <w:tab/>
      </w:r>
      <w:r w:rsidR="00DA41EA">
        <w:rPr>
          <w:sz w:val="22"/>
          <w:szCs w:val="22"/>
        </w:rPr>
        <w:t>m</w:t>
      </w:r>
      <w:r>
        <w:rPr>
          <w:sz w:val="22"/>
          <w:szCs w:val="22"/>
        </w:rPr>
        <w:t>ultiple steam generator tube rupture</w:t>
      </w:r>
    </w:p>
    <w:p w14:paraId="5F034C32" w14:textId="2C18E7F5" w:rsidR="00954FB6" w:rsidRDefault="00954FB6" w:rsidP="007720A1">
      <w:pPr>
        <w:pStyle w:val="BodyTextIndent"/>
        <w:tabs>
          <w:tab w:val="left" w:pos="1080"/>
        </w:tabs>
        <w:ind w:left="849" w:hangingChars="386" w:hanging="849"/>
        <w:rPr>
          <w:sz w:val="22"/>
          <w:szCs w:val="22"/>
        </w:rPr>
      </w:pPr>
      <w:r>
        <w:rPr>
          <w:sz w:val="22"/>
          <w:szCs w:val="22"/>
        </w:rPr>
        <w:t>ML</w:t>
      </w:r>
      <w:r>
        <w:rPr>
          <w:sz w:val="22"/>
          <w:szCs w:val="22"/>
        </w:rPr>
        <w:tab/>
        <w:t>machine learning</w:t>
      </w:r>
    </w:p>
    <w:p w14:paraId="4297F38B" w14:textId="348D27FE" w:rsidR="00C43ABC" w:rsidRDefault="00C43ABC" w:rsidP="00C43ABC">
      <w:pPr>
        <w:pStyle w:val="BodyTextIndent"/>
        <w:tabs>
          <w:tab w:val="left" w:pos="1080"/>
        </w:tabs>
        <w:ind w:left="849" w:hangingChars="386" w:hanging="849"/>
        <w:rPr>
          <w:sz w:val="22"/>
          <w:szCs w:val="22"/>
        </w:rPr>
      </w:pPr>
      <w:r>
        <w:rPr>
          <w:sz w:val="22"/>
          <w:szCs w:val="22"/>
        </w:rPr>
        <w:t>MSLB</w:t>
      </w:r>
      <w:r>
        <w:rPr>
          <w:sz w:val="22"/>
          <w:szCs w:val="22"/>
        </w:rPr>
        <w:tab/>
      </w:r>
      <w:r w:rsidR="00EB2C14">
        <w:rPr>
          <w:sz w:val="22"/>
          <w:szCs w:val="22"/>
        </w:rPr>
        <w:t>m</w:t>
      </w:r>
      <w:r>
        <w:rPr>
          <w:sz w:val="22"/>
          <w:szCs w:val="22"/>
        </w:rPr>
        <w:t>ain steam line break</w:t>
      </w:r>
    </w:p>
    <w:p w14:paraId="0F7339D2" w14:textId="2B36590F" w:rsidR="00E67155" w:rsidRDefault="00E67155" w:rsidP="007720A1">
      <w:pPr>
        <w:pStyle w:val="BodyTextIndent"/>
        <w:tabs>
          <w:tab w:val="left" w:pos="1080"/>
        </w:tabs>
        <w:ind w:left="849" w:hangingChars="386" w:hanging="849"/>
        <w:rPr>
          <w:sz w:val="22"/>
          <w:szCs w:val="22"/>
        </w:rPr>
      </w:pPr>
      <w:r>
        <w:rPr>
          <w:rFonts w:hint="eastAsia"/>
          <w:sz w:val="22"/>
          <w:szCs w:val="22"/>
        </w:rPr>
        <w:t>N</w:t>
      </w:r>
      <w:r>
        <w:rPr>
          <w:sz w:val="22"/>
          <w:szCs w:val="22"/>
        </w:rPr>
        <w:t>EA</w:t>
      </w:r>
      <w:r>
        <w:rPr>
          <w:sz w:val="22"/>
          <w:szCs w:val="22"/>
        </w:rPr>
        <w:tab/>
      </w:r>
      <w:r w:rsidRPr="00E67155">
        <w:rPr>
          <w:sz w:val="22"/>
          <w:szCs w:val="22"/>
        </w:rPr>
        <w:t>Nuclear Energy Agency</w:t>
      </w:r>
    </w:p>
    <w:p w14:paraId="49A6259D" w14:textId="1F8CF51C" w:rsidR="00E67155" w:rsidRDefault="00E67155" w:rsidP="007720A1">
      <w:pPr>
        <w:pStyle w:val="BodyTextIndent"/>
        <w:tabs>
          <w:tab w:val="left" w:pos="1080"/>
        </w:tabs>
        <w:ind w:left="849" w:hangingChars="386" w:hanging="849"/>
        <w:rPr>
          <w:sz w:val="22"/>
          <w:szCs w:val="22"/>
        </w:rPr>
      </w:pPr>
      <w:r>
        <w:rPr>
          <w:rFonts w:hint="eastAsia"/>
          <w:sz w:val="22"/>
          <w:szCs w:val="22"/>
        </w:rPr>
        <w:t>N</w:t>
      </w:r>
      <w:r>
        <w:rPr>
          <w:sz w:val="22"/>
          <w:szCs w:val="22"/>
        </w:rPr>
        <w:t>PP</w:t>
      </w:r>
      <w:r>
        <w:rPr>
          <w:sz w:val="22"/>
          <w:szCs w:val="22"/>
        </w:rPr>
        <w:tab/>
      </w:r>
      <w:r w:rsidR="005B01C5">
        <w:rPr>
          <w:sz w:val="22"/>
          <w:szCs w:val="22"/>
        </w:rPr>
        <w:t>n</w:t>
      </w:r>
      <w:r>
        <w:rPr>
          <w:sz w:val="22"/>
          <w:szCs w:val="22"/>
        </w:rPr>
        <w:t xml:space="preserve">uclear </w:t>
      </w:r>
      <w:r w:rsidR="005B01C5">
        <w:rPr>
          <w:sz w:val="22"/>
          <w:szCs w:val="22"/>
        </w:rPr>
        <w:t>p</w:t>
      </w:r>
      <w:r>
        <w:rPr>
          <w:sz w:val="22"/>
          <w:szCs w:val="22"/>
        </w:rPr>
        <w:t xml:space="preserve">ower </w:t>
      </w:r>
      <w:r w:rsidR="005B01C5">
        <w:rPr>
          <w:sz w:val="22"/>
          <w:szCs w:val="22"/>
        </w:rPr>
        <w:t>p</w:t>
      </w:r>
      <w:r>
        <w:rPr>
          <w:sz w:val="22"/>
          <w:szCs w:val="22"/>
        </w:rPr>
        <w:t>lant</w:t>
      </w:r>
    </w:p>
    <w:p w14:paraId="22D414B8" w14:textId="1C62E781" w:rsidR="00032FD9" w:rsidRPr="00E11F0A" w:rsidRDefault="00032FD9" w:rsidP="005F32EF">
      <w:pPr>
        <w:pStyle w:val="BodyTextIndent"/>
        <w:tabs>
          <w:tab w:val="left" w:pos="1080"/>
        </w:tabs>
        <w:ind w:left="849" w:hangingChars="386" w:hanging="849"/>
        <w:rPr>
          <w:sz w:val="22"/>
          <w:szCs w:val="22"/>
        </w:rPr>
      </w:pPr>
      <w:r>
        <w:rPr>
          <w:rFonts w:hint="eastAsia"/>
          <w:sz w:val="22"/>
          <w:szCs w:val="22"/>
        </w:rPr>
        <w:t>N</w:t>
      </w:r>
      <w:r>
        <w:rPr>
          <w:sz w:val="22"/>
          <w:szCs w:val="22"/>
        </w:rPr>
        <w:t>RC</w:t>
      </w:r>
      <w:r>
        <w:rPr>
          <w:sz w:val="22"/>
          <w:szCs w:val="22"/>
        </w:rPr>
        <w:tab/>
        <w:t>Nuclear Regulatory Commission of USA</w:t>
      </w:r>
    </w:p>
    <w:p w14:paraId="1EC4D766" w14:textId="32A48397" w:rsidR="00150D94" w:rsidRDefault="00150D94" w:rsidP="007720A1">
      <w:pPr>
        <w:pStyle w:val="BodyTextIndent"/>
        <w:tabs>
          <w:tab w:val="left" w:pos="1080"/>
        </w:tabs>
        <w:ind w:left="849" w:hangingChars="386" w:hanging="849"/>
        <w:rPr>
          <w:sz w:val="22"/>
          <w:szCs w:val="22"/>
        </w:rPr>
      </w:pPr>
      <w:r w:rsidRPr="00E11F0A">
        <w:rPr>
          <w:sz w:val="22"/>
          <w:szCs w:val="22"/>
        </w:rPr>
        <w:t>NRS</w:t>
      </w:r>
      <w:r w:rsidRPr="00E11F0A">
        <w:rPr>
          <w:sz w:val="22"/>
          <w:szCs w:val="22"/>
        </w:rPr>
        <w:tab/>
      </w:r>
      <w:r w:rsidR="005B01C5">
        <w:rPr>
          <w:sz w:val="22"/>
          <w:szCs w:val="22"/>
        </w:rPr>
        <w:t>n</w:t>
      </w:r>
      <w:r w:rsidRPr="00E11F0A">
        <w:rPr>
          <w:sz w:val="22"/>
          <w:szCs w:val="22"/>
        </w:rPr>
        <w:t>uclear reactor safety</w:t>
      </w:r>
    </w:p>
    <w:p w14:paraId="05A6BCDC" w14:textId="081B4A56" w:rsidR="007720A1" w:rsidRPr="00E11F0A" w:rsidRDefault="007720A1" w:rsidP="005F32EF">
      <w:pPr>
        <w:pStyle w:val="BodyTextIndent"/>
        <w:tabs>
          <w:tab w:val="left" w:pos="1080"/>
        </w:tabs>
        <w:ind w:left="849" w:hangingChars="386" w:hanging="849"/>
        <w:rPr>
          <w:sz w:val="22"/>
          <w:szCs w:val="22"/>
        </w:rPr>
      </w:pPr>
      <w:r>
        <w:rPr>
          <w:rFonts w:hint="eastAsia"/>
          <w:sz w:val="22"/>
          <w:szCs w:val="22"/>
        </w:rPr>
        <w:t>O</w:t>
      </w:r>
      <w:r>
        <w:rPr>
          <w:sz w:val="22"/>
          <w:szCs w:val="22"/>
        </w:rPr>
        <w:t>ECD</w:t>
      </w:r>
      <w:r>
        <w:rPr>
          <w:sz w:val="22"/>
          <w:szCs w:val="22"/>
        </w:rPr>
        <w:tab/>
      </w:r>
      <w:r w:rsidR="00E67155">
        <w:rPr>
          <w:sz w:val="22"/>
          <w:szCs w:val="22"/>
        </w:rPr>
        <w:t xml:space="preserve">Organization for Economic Co-operation and Development </w:t>
      </w:r>
    </w:p>
    <w:p w14:paraId="688D8714" w14:textId="458BB188" w:rsidR="00150D94" w:rsidRPr="00E11F0A" w:rsidRDefault="00150D94" w:rsidP="005F32EF">
      <w:pPr>
        <w:pStyle w:val="BodyTextIndent"/>
        <w:tabs>
          <w:tab w:val="left" w:pos="1080"/>
        </w:tabs>
        <w:ind w:left="849" w:hangingChars="386" w:hanging="849"/>
        <w:rPr>
          <w:sz w:val="22"/>
          <w:szCs w:val="22"/>
        </w:rPr>
      </w:pPr>
      <w:r w:rsidRPr="00E11F0A">
        <w:rPr>
          <w:sz w:val="22"/>
          <w:szCs w:val="22"/>
        </w:rPr>
        <w:t>PIRT</w:t>
      </w:r>
      <w:r w:rsidRPr="00E11F0A">
        <w:rPr>
          <w:sz w:val="22"/>
          <w:szCs w:val="22"/>
        </w:rPr>
        <w:tab/>
      </w:r>
      <w:r w:rsidR="008670B2">
        <w:rPr>
          <w:sz w:val="22"/>
          <w:szCs w:val="22"/>
        </w:rPr>
        <w:t>p</w:t>
      </w:r>
      <w:r w:rsidRPr="00E11F0A">
        <w:rPr>
          <w:sz w:val="22"/>
          <w:szCs w:val="22"/>
        </w:rPr>
        <w:t xml:space="preserve">henomena </w:t>
      </w:r>
      <w:r w:rsidR="008670B2">
        <w:rPr>
          <w:sz w:val="22"/>
          <w:szCs w:val="22"/>
        </w:rPr>
        <w:t>i</w:t>
      </w:r>
      <w:r w:rsidRPr="00E11F0A">
        <w:rPr>
          <w:sz w:val="22"/>
          <w:szCs w:val="22"/>
        </w:rPr>
        <w:t xml:space="preserve">dentification and </w:t>
      </w:r>
      <w:r w:rsidR="008670B2">
        <w:rPr>
          <w:sz w:val="22"/>
          <w:szCs w:val="22"/>
        </w:rPr>
        <w:t>r</w:t>
      </w:r>
      <w:r w:rsidRPr="00E11F0A">
        <w:rPr>
          <w:sz w:val="22"/>
          <w:szCs w:val="22"/>
        </w:rPr>
        <w:t xml:space="preserve">aking </w:t>
      </w:r>
      <w:r w:rsidR="008670B2">
        <w:rPr>
          <w:sz w:val="22"/>
          <w:szCs w:val="22"/>
        </w:rPr>
        <w:t>t</w:t>
      </w:r>
      <w:r w:rsidRPr="00E11F0A">
        <w:rPr>
          <w:sz w:val="22"/>
          <w:szCs w:val="22"/>
        </w:rPr>
        <w:t>able</w:t>
      </w:r>
    </w:p>
    <w:p w14:paraId="1883F719" w14:textId="1B268F4B" w:rsidR="00150D94" w:rsidRPr="00E11F0A" w:rsidRDefault="00150D94" w:rsidP="005F32EF">
      <w:pPr>
        <w:pStyle w:val="BodyTextIndent"/>
        <w:tabs>
          <w:tab w:val="left" w:pos="1080"/>
        </w:tabs>
        <w:ind w:left="849" w:hangingChars="386" w:hanging="849"/>
        <w:rPr>
          <w:sz w:val="22"/>
          <w:szCs w:val="22"/>
        </w:rPr>
      </w:pPr>
      <w:r w:rsidRPr="00E11F0A">
        <w:rPr>
          <w:sz w:val="22"/>
          <w:szCs w:val="22"/>
        </w:rPr>
        <w:t xml:space="preserve">PKL </w:t>
      </w:r>
      <w:r w:rsidRPr="00E11F0A">
        <w:rPr>
          <w:sz w:val="22"/>
          <w:szCs w:val="22"/>
        </w:rPr>
        <w:tab/>
        <w:t xml:space="preserve">Primärkreislauf-Versuchsanlage </w:t>
      </w:r>
      <w:r w:rsidR="009F34E5">
        <w:rPr>
          <w:sz w:val="22"/>
          <w:szCs w:val="22"/>
        </w:rPr>
        <w:t>/ l</w:t>
      </w:r>
      <w:r w:rsidR="009F34E5" w:rsidRPr="009F34E5">
        <w:rPr>
          <w:sz w:val="22"/>
          <w:szCs w:val="22"/>
        </w:rPr>
        <w:t>arge</w:t>
      </w:r>
      <w:r w:rsidR="009F34E5">
        <w:rPr>
          <w:sz w:val="22"/>
          <w:szCs w:val="22"/>
        </w:rPr>
        <w:t>-</w:t>
      </w:r>
      <w:r w:rsidR="009F34E5" w:rsidRPr="009F34E5">
        <w:rPr>
          <w:sz w:val="22"/>
          <w:szCs w:val="22"/>
        </w:rPr>
        <w:t xml:space="preserve">scale test facility of a </w:t>
      </w:r>
      <w:r w:rsidR="009F34E5">
        <w:rPr>
          <w:sz w:val="22"/>
          <w:szCs w:val="22"/>
        </w:rPr>
        <w:t xml:space="preserve">PWR </w:t>
      </w:r>
      <w:r w:rsidR="009F34E5" w:rsidRPr="009F34E5">
        <w:rPr>
          <w:sz w:val="22"/>
          <w:szCs w:val="22"/>
        </w:rPr>
        <w:t>primary loop</w:t>
      </w:r>
    </w:p>
    <w:p w14:paraId="19ED00CF" w14:textId="3B8FD207" w:rsidR="00E11F0A" w:rsidRDefault="00E11F0A" w:rsidP="005F32EF">
      <w:pPr>
        <w:pStyle w:val="BodyTextIndent"/>
        <w:tabs>
          <w:tab w:val="left" w:pos="1080"/>
        </w:tabs>
        <w:ind w:left="849" w:hangingChars="386" w:hanging="849"/>
        <w:rPr>
          <w:sz w:val="22"/>
          <w:szCs w:val="22"/>
        </w:rPr>
      </w:pPr>
      <w:r w:rsidRPr="00E11F0A">
        <w:rPr>
          <w:sz w:val="22"/>
          <w:szCs w:val="22"/>
        </w:rPr>
        <w:t xml:space="preserve">POLCA </w:t>
      </w:r>
      <w:r w:rsidRPr="00E11F0A">
        <w:rPr>
          <w:sz w:val="22"/>
          <w:szCs w:val="22"/>
        </w:rPr>
        <w:tab/>
        <w:t>POol during Loss of Cooling Accident</w:t>
      </w:r>
    </w:p>
    <w:p w14:paraId="29BE2EC6" w14:textId="2FFBB722" w:rsidR="00954FB6" w:rsidRPr="0041127F" w:rsidRDefault="00954FB6">
      <w:pPr>
        <w:pStyle w:val="BodyTextIndent"/>
        <w:tabs>
          <w:tab w:val="left" w:pos="1080"/>
        </w:tabs>
        <w:ind w:left="849" w:hangingChars="386" w:hanging="849"/>
        <w:rPr>
          <w:sz w:val="22"/>
          <w:szCs w:val="22"/>
        </w:rPr>
      </w:pPr>
      <w:r w:rsidRPr="0041127F">
        <w:rPr>
          <w:sz w:val="22"/>
          <w:szCs w:val="22"/>
        </w:rPr>
        <w:t>PSA</w:t>
      </w:r>
      <w:r w:rsidRPr="0041127F">
        <w:rPr>
          <w:sz w:val="22"/>
          <w:szCs w:val="22"/>
        </w:rPr>
        <w:tab/>
        <w:t>probabilistic safety assessment</w:t>
      </w:r>
    </w:p>
    <w:p w14:paraId="1DFA6C0B" w14:textId="6E518FE3" w:rsidR="00150D94" w:rsidRPr="00E11F0A" w:rsidRDefault="00150D94" w:rsidP="005F32EF">
      <w:pPr>
        <w:pStyle w:val="BodyTextIndent"/>
        <w:tabs>
          <w:tab w:val="left" w:pos="1080"/>
        </w:tabs>
        <w:ind w:left="849" w:hangingChars="386" w:hanging="849"/>
        <w:rPr>
          <w:sz w:val="22"/>
          <w:szCs w:val="22"/>
        </w:rPr>
      </w:pPr>
      <w:r w:rsidRPr="00E11F0A">
        <w:rPr>
          <w:sz w:val="22"/>
          <w:szCs w:val="22"/>
        </w:rPr>
        <w:t>PWR</w:t>
      </w:r>
      <w:r w:rsidRPr="00E11F0A">
        <w:rPr>
          <w:sz w:val="22"/>
          <w:szCs w:val="22"/>
        </w:rPr>
        <w:tab/>
      </w:r>
      <w:r w:rsidR="008670B2">
        <w:rPr>
          <w:sz w:val="22"/>
          <w:szCs w:val="22"/>
        </w:rPr>
        <w:t>p</w:t>
      </w:r>
      <w:r w:rsidRPr="00E11F0A">
        <w:rPr>
          <w:sz w:val="22"/>
          <w:szCs w:val="22"/>
        </w:rPr>
        <w:t xml:space="preserve">ressurised </w:t>
      </w:r>
      <w:r w:rsidR="008670B2">
        <w:rPr>
          <w:sz w:val="22"/>
          <w:szCs w:val="22"/>
        </w:rPr>
        <w:t>w</w:t>
      </w:r>
      <w:r w:rsidRPr="00E11F0A">
        <w:rPr>
          <w:sz w:val="22"/>
          <w:szCs w:val="22"/>
        </w:rPr>
        <w:t xml:space="preserve">ater </w:t>
      </w:r>
      <w:r w:rsidR="008670B2">
        <w:rPr>
          <w:sz w:val="22"/>
          <w:szCs w:val="22"/>
        </w:rPr>
        <w:t>r</w:t>
      </w:r>
      <w:r w:rsidRPr="00E11F0A">
        <w:rPr>
          <w:sz w:val="22"/>
          <w:szCs w:val="22"/>
        </w:rPr>
        <w:t>eactor</w:t>
      </w:r>
    </w:p>
    <w:p w14:paraId="0D2F6609" w14:textId="2C32C892" w:rsidR="00E11F0A" w:rsidRDefault="00E11F0A" w:rsidP="007720A1">
      <w:pPr>
        <w:pStyle w:val="BodyTextIndent"/>
        <w:tabs>
          <w:tab w:val="left" w:pos="1080"/>
        </w:tabs>
        <w:ind w:left="849" w:hangingChars="386" w:hanging="849"/>
        <w:rPr>
          <w:sz w:val="22"/>
          <w:szCs w:val="22"/>
        </w:rPr>
      </w:pPr>
      <w:r w:rsidRPr="00E11F0A">
        <w:rPr>
          <w:sz w:val="22"/>
          <w:szCs w:val="22"/>
        </w:rPr>
        <w:t>RBHT</w:t>
      </w:r>
      <w:r>
        <w:rPr>
          <w:sz w:val="22"/>
          <w:szCs w:val="22"/>
        </w:rPr>
        <w:tab/>
      </w:r>
      <w:r w:rsidR="008670B2">
        <w:rPr>
          <w:sz w:val="22"/>
          <w:szCs w:val="22"/>
        </w:rPr>
        <w:t>B</w:t>
      </w:r>
      <w:r w:rsidRPr="00E11F0A">
        <w:rPr>
          <w:sz w:val="22"/>
          <w:szCs w:val="22"/>
        </w:rPr>
        <w:t>od Bundle Heat Transfer</w:t>
      </w:r>
    </w:p>
    <w:p w14:paraId="15FE89DB" w14:textId="03D4A19C" w:rsidR="00533482" w:rsidRDefault="00533482" w:rsidP="00C21323">
      <w:pPr>
        <w:pStyle w:val="BodyTextIndent"/>
        <w:widowControl w:val="0"/>
        <w:tabs>
          <w:tab w:val="left" w:pos="1080"/>
        </w:tabs>
        <w:ind w:left="849" w:hangingChars="386" w:hanging="849"/>
        <w:rPr>
          <w:sz w:val="22"/>
          <w:szCs w:val="22"/>
        </w:rPr>
      </w:pPr>
      <w:r>
        <w:rPr>
          <w:rFonts w:hint="eastAsia"/>
          <w:sz w:val="22"/>
          <w:szCs w:val="22"/>
        </w:rPr>
        <w:t>S</w:t>
      </w:r>
      <w:r>
        <w:rPr>
          <w:sz w:val="22"/>
          <w:szCs w:val="22"/>
        </w:rPr>
        <w:t>EG</w:t>
      </w:r>
      <w:r>
        <w:rPr>
          <w:sz w:val="22"/>
          <w:szCs w:val="22"/>
        </w:rPr>
        <w:tab/>
      </w:r>
      <w:r w:rsidR="008670B2">
        <w:rPr>
          <w:sz w:val="22"/>
          <w:szCs w:val="22"/>
        </w:rPr>
        <w:t>s</w:t>
      </w:r>
      <w:r>
        <w:rPr>
          <w:sz w:val="22"/>
          <w:szCs w:val="22"/>
        </w:rPr>
        <w:t>enior expert group</w:t>
      </w:r>
    </w:p>
    <w:p w14:paraId="714E7736" w14:textId="19FF6CD6" w:rsidR="00150D94" w:rsidRPr="00E11F0A" w:rsidRDefault="00150D94" w:rsidP="00C21323">
      <w:pPr>
        <w:pStyle w:val="BodyTextIndent"/>
        <w:widowControl w:val="0"/>
        <w:tabs>
          <w:tab w:val="left" w:pos="1080"/>
        </w:tabs>
        <w:ind w:left="849" w:hangingChars="386" w:hanging="849"/>
        <w:rPr>
          <w:sz w:val="22"/>
          <w:szCs w:val="22"/>
        </w:rPr>
      </w:pPr>
      <w:r w:rsidRPr="00E11F0A">
        <w:rPr>
          <w:sz w:val="22"/>
          <w:szCs w:val="22"/>
        </w:rPr>
        <w:t>SFP</w:t>
      </w:r>
      <w:r w:rsidRPr="00E11F0A">
        <w:rPr>
          <w:sz w:val="22"/>
          <w:szCs w:val="22"/>
        </w:rPr>
        <w:tab/>
      </w:r>
      <w:r w:rsidR="00DA41EA">
        <w:rPr>
          <w:sz w:val="22"/>
          <w:szCs w:val="22"/>
        </w:rPr>
        <w:t>s</w:t>
      </w:r>
      <w:r w:rsidR="005A7032">
        <w:rPr>
          <w:sz w:val="22"/>
          <w:szCs w:val="22"/>
        </w:rPr>
        <w:t>pen</w:t>
      </w:r>
      <w:r w:rsidR="00DA41EA">
        <w:rPr>
          <w:sz w:val="22"/>
          <w:szCs w:val="22"/>
        </w:rPr>
        <w:t>t</w:t>
      </w:r>
      <w:r w:rsidR="005A7032">
        <w:rPr>
          <w:sz w:val="22"/>
          <w:szCs w:val="22"/>
        </w:rPr>
        <w:t xml:space="preserve"> fuel pool</w:t>
      </w:r>
    </w:p>
    <w:p w14:paraId="6A403825" w14:textId="00788918" w:rsidR="00150D94" w:rsidRDefault="00150D94" w:rsidP="00C21323">
      <w:pPr>
        <w:pStyle w:val="BodyTextIndent"/>
        <w:widowControl w:val="0"/>
        <w:tabs>
          <w:tab w:val="left" w:pos="1080"/>
        </w:tabs>
        <w:ind w:left="849" w:hangingChars="386" w:hanging="849"/>
        <w:rPr>
          <w:sz w:val="22"/>
          <w:szCs w:val="22"/>
        </w:rPr>
      </w:pPr>
      <w:r w:rsidRPr="00E11F0A">
        <w:rPr>
          <w:sz w:val="22"/>
          <w:szCs w:val="22"/>
        </w:rPr>
        <w:t>SMR</w:t>
      </w:r>
      <w:r w:rsidRPr="00E11F0A">
        <w:rPr>
          <w:sz w:val="22"/>
          <w:szCs w:val="22"/>
        </w:rPr>
        <w:tab/>
      </w:r>
      <w:r w:rsidR="008670B2">
        <w:rPr>
          <w:sz w:val="22"/>
          <w:szCs w:val="22"/>
        </w:rPr>
        <w:t>s</w:t>
      </w:r>
      <w:r w:rsidRPr="00E11F0A">
        <w:rPr>
          <w:sz w:val="22"/>
          <w:szCs w:val="22"/>
        </w:rPr>
        <w:t>mall modular reactors</w:t>
      </w:r>
    </w:p>
    <w:p w14:paraId="756A2D90" w14:textId="76FEFE11" w:rsidR="00533482" w:rsidRDefault="00533482" w:rsidP="00C21323">
      <w:pPr>
        <w:pStyle w:val="BodyTextIndent"/>
        <w:widowControl w:val="0"/>
        <w:tabs>
          <w:tab w:val="left" w:pos="1080"/>
        </w:tabs>
        <w:ind w:left="849" w:hangingChars="386" w:hanging="849"/>
        <w:rPr>
          <w:sz w:val="22"/>
          <w:szCs w:val="22"/>
        </w:rPr>
      </w:pPr>
      <w:r>
        <w:rPr>
          <w:rFonts w:hint="eastAsia"/>
          <w:sz w:val="22"/>
          <w:szCs w:val="22"/>
        </w:rPr>
        <w:t>S</w:t>
      </w:r>
      <w:r>
        <w:rPr>
          <w:sz w:val="22"/>
          <w:szCs w:val="22"/>
        </w:rPr>
        <w:t>OAR</w:t>
      </w:r>
      <w:r>
        <w:rPr>
          <w:sz w:val="22"/>
          <w:szCs w:val="22"/>
        </w:rPr>
        <w:tab/>
      </w:r>
      <w:r w:rsidR="00DA41EA">
        <w:rPr>
          <w:sz w:val="22"/>
          <w:szCs w:val="22"/>
        </w:rPr>
        <w:t>s</w:t>
      </w:r>
      <w:r>
        <w:rPr>
          <w:sz w:val="22"/>
          <w:szCs w:val="22"/>
        </w:rPr>
        <w:t>tate-of-the-</w:t>
      </w:r>
      <w:r w:rsidR="008670B2">
        <w:rPr>
          <w:sz w:val="22"/>
          <w:szCs w:val="22"/>
        </w:rPr>
        <w:t>a</w:t>
      </w:r>
      <w:r>
        <w:rPr>
          <w:sz w:val="22"/>
          <w:szCs w:val="22"/>
        </w:rPr>
        <w:t xml:space="preserve">rt </w:t>
      </w:r>
      <w:r w:rsidR="008670B2">
        <w:rPr>
          <w:sz w:val="22"/>
          <w:szCs w:val="22"/>
        </w:rPr>
        <w:t>r</w:t>
      </w:r>
      <w:r>
        <w:rPr>
          <w:sz w:val="22"/>
          <w:szCs w:val="22"/>
        </w:rPr>
        <w:t>epost</w:t>
      </w:r>
    </w:p>
    <w:p w14:paraId="089A5C89" w14:textId="546877C1" w:rsidR="005B01C5" w:rsidRPr="00E11F0A" w:rsidRDefault="005B01C5" w:rsidP="00C21323">
      <w:pPr>
        <w:pStyle w:val="BodyTextIndent"/>
        <w:widowControl w:val="0"/>
        <w:tabs>
          <w:tab w:val="left" w:pos="1080"/>
        </w:tabs>
        <w:ind w:left="849" w:hangingChars="386" w:hanging="849"/>
        <w:rPr>
          <w:sz w:val="22"/>
          <w:szCs w:val="22"/>
        </w:rPr>
      </w:pPr>
      <w:r>
        <w:rPr>
          <w:rFonts w:hint="eastAsia"/>
          <w:sz w:val="22"/>
          <w:szCs w:val="22"/>
        </w:rPr>
        <w:t>T</w:t>
      </w:r>
      <w:r>
        <w:rPr>
          <w:sz w:val="22"/>
          <w:szCs w:val="22"/>
        </w:rPr>
        <w:t>G</w:t>
      </w:r>
      <w:r>
        <w:rPr>
          <w:sz w:val="22"/>
          <w:szCs w:val="22"/>
        </w:rPr>
        <w:tab/>
      </w:r>
      <w:r w:rsidR="008670B2">
        <w:rPr>
          <w:sz w:val="22"/>
          <w:szCs w:val="22"/>
        </w:rPr>
        <w:t>t</w:t>
      </w:r>
      <w:r>
        <w:rPr>
          <w:sz w:val="22"/>
          <w:szCs w:val="22"/>
        </w:rPr>
        <w:t>ask group</w:t>
      </w:r>
    </w:p>
    <w:p w14:paraId="6CE2A618" w14:textId="6D446604" w:rsidR="00150D94" w:rsidRPr="00E11F0A" w:rsidRDefault="00150D94" w:rsidP="00C21323">
      <w:pPr>
        <w:pStyle w:val="BodyTextIndent"/>
        <w:widowControl w:val="0"/>
        <w:tabs>
          <w:tab w:val="left" w:pos="1080"/>
        </w:tabs>
        <w:ind w:left="849" w:hangingChars="386" w:hanging="849"/>
        <w:rPr>
          <w:sz w:val="22"/>
          <w:szCs w:val="22"/>
        </w:rPr>
      </w:pPr>
      <w:r w:rsidRPr="00E11F0A">
        <w:rPr>
          <w:sz w:val="22"/>
          <w:szCs w:val="22"/>
        </w:rPr>
        <w:t>T</w:t>
      </w:r>
      <w:r w:rsidR="00E67155">
        <w:rPr>
          <w:sz w:val="22"/>
          <w:szCs w:val="22"/>
        </w:rPr>
        <w:t>/</w:t>
      </w:r>
      <w:r w:rsidRPr="00E11F0A">
        <w:rPr>
          <w:sz w:val="22"/>
          <w:szCs w:val="22"/>
        </w:rPr>
        <w:t>H</w:t>
      </w:r>
      <w:r w:rsidRPr="00E11F0A">
        <w:rPr>
          <w:sz w:val="22"/>
          <w:szCs w:val="22"/>
        </w:rPr>
        <w:tab/>
      </w:r>
      <w:r w:rsidR="008670B2">
        <w:rPr>
          <w:sz w:val="22"/>
          <w:szCs w:val="22"/>
        </w:rPr>
        <w:t>t</w:t>
      </w:r>
      <w:r w:rsidRPr="00E11F0A">
        <w:rPr>
          <w:sz w:val="22"/>
          <w:szCs w:val="22"/>
        </w:rPr>
        <w:t>hermal-hydraulics</w:t>
      </w:r>
    </w:p>
    <w:p w14:paraId="4E0ACABF" w14:textId="69EC7AD7" w:rsidR="00150D94" w:rsidRDefault="00150D94" w:rsidP="00C21323">
      <w:pPr>
        <w:pStyle w:val="BodyTextIndent"/>
        <w:widowControl w:val="0"/>
        <w:tabs>
          <w:tab w:val="left" w:pos="1276"/>
        </w:tabs>
        <w:ind w:left="849" w:hangingChars="386" w:hanging="849"/>
        <w:rPr>
          <w:sz w:val="22"/>
          <w:szCs w:val="22"/>
        </w:rPr>
      </w:pPr>
      <w:r w:rsidRPr="00E11F0A">
        <w:rPr>
          <w:sz w:val="22"/>
          <w:szCs w:val="22"/>
        </w:rPr>
        <w:t>THICKET</w:t>
      </w:r>
      <w:r w:rsidRPr="00E11F0A">
        <w:rPr>
          <w:sz w:val="22"/>
          <w:szCs w:val="22"/>
        </w:rPr>
        <w:tab/>
        <w:t>Seminar on Transfer of Competence, Knowledge and Experience Gained through CSNI Activities in the Field of Thermal-</w:t>
      </w:r>
      <w:r w:rsidRPr="00E11F0A">
        <w:rPr>
          <w:sz w:val="22"/>
          <w:szCs w:val="22"/>
        </w:rPr>
        <w:lastRenderedPageBreak/>
        <w:t>hydraulics</w:t>
      </w:r>
    </w:p>
    <w:p w14:paraId="4ED9B2D9" w14:textId="78921990" w:rsidR="00533482" w:rsidRDefault="00533482" w:rsidP="00FF74B0">
      <w:pPr>
        <w:pStyle w:val="BodyTextIndent"/>
        <w:widowControl w:val="0"/>
        <w:tabs>
          <w:tab w:val="left" w:pos="1276"/>
        </w:tabs>
        <w:ind w:left="849" w:hangingChars="386" w:hanging="849"/>
        <w:rPr>
          <w:sz w:val="22"/>
          <w:szCs w:val="22"/>
        </w:rPr>
      </w:pPr>
      <w:r>
        <w:rPr>
          <w:rFonts w:hint="eastAsia"/>
          <w:sz w:val="22"/>
          <w:szCs w:val="22"/>
        </w:rPr>
        <w:t>T</w:t>
      </w:r>
      <w:r>
        <w:rPr>
          <w:sz w:val="22"/>
          <w:szCs w:val="22"/>
        </w:rPr>
        <w:t>OP</w:t>
      </w:r>
      <w:r>
        <w:rPr>
          <w:sz w:val="22"/>
          <w:szCs w:val="22"/>
        </w:rPr>
        <w:tab/>
      </w:r>
      <w:r w:rsidR="008670B2">
        <w:rPr>
          <w:sz w:val="22"/>
          <w:szCs w:val="22"/>
        </w:rPr>
        <w:t>t</w:t>
      </w:r>
      <w:r>
        <w:rPr>
          <w:sz w:val="22"/>
          <w:szCs w:val="22"/>
        </w:rPr>
        <w:t xml:space="preserve">opical (or </w:t>
      </w:r>
      <w:r w:rsidR="008670B2">
        <w:rPr>
          <w:sz w:val="22"/>
          <w:szCs w:val="22"/>
        </w:rPr>
        <w:t>t</w:t>
      </w:r>
      <w:r>
        <w:rPr>
          <w:sz w:val="22"/>
          <w:szCs w:val="22"/>
        </w:rPr>
        <w:t xml:space="preserve">echnical) </w:t>
      </w:r>
      <w:r w:rsidR="008670B2">
        <w:rPr>
          <w:sz w:val="22"/>
          <w:szCs w:val="22"/>
        </w:rPr>
        <w:t>o</w:t>
      </w:r>
      <w:r>
        <w:rPr>
          <w:sz w:val="22"/>
          <w:szCs w:val="22"/>
        </w:rPr>
        <w:t xml:space="preserve">pinion </w:t>
      </w:r>
      <w:r w:rsidR="008670B2">
        <w:rPr>
          <w:sz w:val="22"/>
          <w:szCs w:val="22"/>
        </w:rPr>
        <w:t>p</w:t>
      </w:r>
      <w:r>
        <w:rPr>
          <w:sz w:val="22"/>
          <w:szCs w:val="22"/>
        </w:rPr>
        <w:t>aper</w:t>
      </w:r>
    </w:p>
    <w:p w14:paraId="39E2CA79" w14:textId="4287E10F" w:rsidR="001A7609" w:rsidRPr="00E11F0A" w:rsidRDefault="001A7609" w:rsidP="00FF74B0">
      <w:pPr>
        <w:pStyle w:val="BodyTextIndent"/>
        <w:widowControl w:val="0"/>
        <w:tabs>
          <w:tab w:val="left" w:pos="1276"/>
        </w:tabs>
        <w:ind w:left="849" w:hangingChars="386" w:hanging="849"/>
        <w:rPr>
          <w:sz w:val="22"/>
          <w:szCs w:val="22"/>
        </w:rPr>
      </w:pPr>
      <w:r>
        <w:rPr>
          <w:rFonts w:hint="eastAsia"/>
          <w:sz w:val="22"/>
          <w:szCs w:val="22"/>
        </w:rPr>
        <w:t>T</w:t>
      </w:r>
      <w:r>
        <w:rPr>
          <w:sz w:val="22"/>
          <w:szCs w:val="22"/>
        </w:rPr>
        <w:t>SO</w:t>
      </w:r>
      <w:r>
        <w:rPr>
          <w:sz w:val="22"/>
          <w:szCs w:val="22"/>
        </w:rPr>
        <w:tab/>
      </w:r>
      <w:r w:rsidR="008670B2">
        <w:rPr>
          <w:sz w:val="22"/>
          <w:szCs w:val="22"/>
        </w:rPr>
        <w:t>t</w:t>
      </w:r>
      <w:r w:rsidRPr="006326C5">
        <w:rPr>
          <w:sz w:val="22"/>
          <w:szCs w:val="22"/>
        </w:rPr>
        <w:t>echnical support organization</w:t>
      </w:r>
    </w:p>
    <w:p w14:paraId="5B80BBDC" w14:textId="740AA465" w:rsidR="00150D94" w:rsidRPr="00E11F0A" w:rsidRDefault="00150D94" w:rsidP="00FF74B0">
      <w:pPr>
        <w:pStyle w:val="BodyTextIndent"/>
        <w:widowControl w:val="0"/>
        <w:tabs>
          <w:tab w:val="left" w:pos="1080"/>
        </w:tabs>
        <w:ind w:left="849" w:hangingChars="386" w:hanging="849"/>
        <w:rPr>
          <w:sz w:val="22"/>
          <w:szCs w:val="22"/>
        </w:rPr>
      </w:pPr>
      <w:r w:rsidRPr="00E11F0A">
        <w:rPr>
          <w:sz w:val="22"/>
          <w:szCs w:val="22"/>
        </w:rPr>
        <w:t>UQ</w:t>
      </w:r>
      <w:r w:rsidRPr="00E11F0A">
        <w:rPr>
          <w:sz w:val="22"/>
          <w:szCs w:val="22"/>
        </w:rPr>
        <w:tab/>
      </w:r>
      <w:r w:rsidR="008670B2">
        <w:rPr>
          <w:sz w:val="22"/>
          <w:szCs w:val="22"/>
        </w:rPr>
        <w:t>u</w:t>
      </w:r>
      <w:r w:rsidRPr="00E11F0A">
        <w:rPr>
          <w:sz w:val="22"/>
          <w:szCs w:val="22"/>
        </w:rPr>
        <w:t>ncertainty quantification</w:t>
      </w:r>
    </w:p>
    <w:p w14:paraId="74B3C6D4" w14:textId="57519F5D" w:rsidR="00150D94" w:rsidRPr="00E11F0A" w:rsidRDefault="00150D94" w:rsidP="005F32EF">
      <w:pPr>
        <w:pStyle w:val="BodyTextIndent"/>
        <w:widowControl w:val="0"/>
        <w:tabs>
          <w:tab w:val="left" w:pos="1080"/>
        </w:tabs>
        <w:ind w:left="849" w:hangingChars="386" w:hanging="849"/>
        <w:rPr>
          <w:sz w:val="22"/>
          <w:szCs w:val="22"/>
        </w:rPr>
      </w:pPr>
      <w:r w:rsidRPr="00E11F0A">
        <w:rPr>
          <w:sz w:val="22"/>
          <w:szCs w:val="22"/>
        </w:rPr>
        <w:t>V&amp;V</w:t>
      </w:r>
      <w:r w:rsidRPr="00E11F0A">
        <w:rPr>
          <w:sz w:val="22"/>
          <w:szCs w:val="22"/>
        </w:rPr>
        <w:tab/>
      </w:r>
      <w:r w:rsidR="008670B2">
        <w:rPr>
          <w:sz w:val="22"/>
          <w:szCs w:val="22"/>
        </w:rPr>
        <w:t>v</w:t>
      </w:r>
      <w:r w:rsidRPr="00E11F0A">
        <w:rPr>
          <w:sz w:val="22"/>
          <w:szCs w:val="22"/>
        </w:rPr>
        <w:t>erification and validation</w:t>
      </w:r>
    </w:p>
    <w:p w14:paraId="310B5E33" w14:textId="3F13C04C" w:rsidR="00150D94" w:rsidRDefault="00150D94" w:rsidP="005F32EF">
      <w:pPr>
        <w:pStyle w:val="BodyTextIndent"/>
        <w:widowControl w:val="0"/>
        <w:tabs>
          <w:tab w:val="left" w:pos="1080"/>
        </w:tabs>
        <w:ind w:left="849" w:hangingChars="386" w:hanging="849"/>
        <w:rPr>
          <w:sz w:val="22"/>
          <w:szCs w:val="22"/>
        </w:rPr>
      </w:pPr>
      <w:r w:rsidRPr="00E11F0A">
        <w:rPr>
          <w:sz w:val="22"/>
          <w:szCs w:val="22"/>
        </w:rPr>
        <w:t>WG</w:t>
      </w:r>
      <w:r w:rsidRPr="00E11F0A">
        <w:rPr>
          <w:sz w:val="22"/>
          <w:szCs w:val="22"/>
        </w:rPr>
        <w:tab/>
      </w:r>
      <w:r w:rsidR="008670B2">
        <w:rPr>
          <w:sz w:val="22"/>
          <w:szCs w:val="22"/>
        </w:rPr>
        <w:t>w</w:t>
      </w:r>
      <w:r w:rsidRPr="00E11F0A">
        <w:rPr>
          <w:sz w:val="22"/>
          <w:szCs w:val="22"/>
        </w:rPr>
        <w:t xml:space="preserve">orking </w:t>
      </w:r>
      <w:r w:rsidR="008670B2">
        <w:rPr>
          <w:sz w:val="22"/>
          <w:szCs w:val="22"/>
        </w:rPr>
        <w:t>g</w:t>
      </w:r>
      <w:r w:rsidRPr="00E11F0A">
        <w:rPr>
          <w:sz w:val="22"/>
          <w:szCs w:val="22"/>
        </w:rPr>
        <w:t>roup</w:t>
      </w:r>
    </w:p>
    <w:p w14:paraId="775C8AC3" w14:textId="3845A513" w:rsidR="006105E1" w:rsidRDefault="006105E1" w:rsidP="005F32EF">
      <w:pPr>
        <w:pStyle w:val="BodyTextIndent"/>
        <w:widowControl w:val="0"/>
        <w:tabs>
          <w:tab w:val="left" w:pos="1080"/>
        </w:tabs>
        <w:ind w:left="849" w:hangingChars="386" w:hanging="849"/>
        <w:rPr>
          <w:sz w:val="22"/>
          <w:szCs w:val="22"/>
        </w:rPr>
      </w:pPr>
      <w:r>
        <w:rPr>
          <w:rFonts w:hint="eastAsia"/>
          <w:sz w:val="22"/>
          <w:szCs w:val="22"/>
        </w:rPr>
        <w:t>W</w:t>
      </w:r>
      <w:r>
        <w:rPr>
          <w:sz w:val="22"/>
          <w:szCs w:val="22"/>
        </w:rPr>
        <w:t>S</w:t>
      </w:r>
      <w:r>
        <w:rPr>
          <w:sz w:val="22"/>
          <w:szCs w:val="22"/>
        </w:rPr>
        <w:tab/>
        <w:t>workshop</w:t>
      </w:r>
    </w:p>
    <w:p w14:paraId="47B1ABC0" w14:textId="25EF4A8E" w:rsidR="00781B6A" w:rsidRPr="00BB7497" w:rsidRDefault="00A73779" w:rsidP="005F32EF">
      <w:pPr>
        <w:pStyle w:val="ReferencesClauseTitle"/>
        <w:widowControl w:val="0"/>
        <w:jc w:val="center"/>
        <w:rPr>
          <w:rFonts w:ascii="Times New Roman" w:hAnsi="Times New Roman"/>
          <w:sz w:val="22"/>
          <w:szCs w:val="22"/>
        </w:rPr>
      </w:pPr>
      <w:r w:rsidRPr="00BB7497">
        <w:rPr>
          <w:rFonts w:ascii="Times New Roman" w:hAnsi="Times New Roman"/>
          <w:caps w:val="0"/>
          <w:sz w:val="22"/>
          <w:szCs w:val="22"/>
        </w:rPr>
        <w:t>References</w:t>
      </w:r>
    </w:p>
    <w:p w14:paraId="0616C663" w14:textId="77777777" w:rsidR="00781B6A" w:rsidRDefault="00781B6A" w:rsidP="005F32EF">
      <w:pPr>
        <w:pStyle w:val="BodyTextIndent"/>
        <w:widowControl w:val="0"/>
      </w:pPr>
    </w:p>
    <w:p w14:paraId="770EC91F" w14:textId="5782E0BC" w:rsidR="00DF734C" w:rsidRDefault="00DF734C" w:rsidP="005F32EF">
      <w:pPr>
        <w:pStyle w:val="BodyTextIndent"/>
        <w:widowControl w:val="0"/>
        <w:numPr>
          <w:ilvl w:val="0"/>
          <w:numId w:val="1"/>
        </w:numPr>
      </w:pPr>
      <w:r>
        <w:t>NEA (</w:t>
      </w:r>
      <w:r w:rsidR="00925AFE" w:rsidRPr="00C21323">
        <w:rPr>
          <w:i/>
        </w:rPr>
        <w:t>forthcoming</w:t>
      </w:r>
      <w:r>
        <w:t>), CSNI Status Report and Perspectives. Advances in the analysis and management of accidents and future challenges, NEA No. 7658</w:t>
      </w:r>
    </w:p>
    <w:p w14:paraId="016E9B35" w14:textId="77777777" w:rsidR="00DF734C" w:rsidRDefault="00DF734C" w:rsidP="005F32EF">
      <w:pPr>
        <w:pStyle w:val="BodyTextIndent"/>
        <w:widowControl w:val="0"/>
        <w:ind w:left="360" w:firstLine="0"/>
      </w:pPr>
    </w:p>
    <w:p w14:paraId="615A9BBA" w14:textId="2D62D89B" w:rsidR="005429D0" w:rsidRPr="00DF734C" w:rsidRDefault="005429D0" w:rsidP="005F32EF">
      <w:pPr>
        <w:pStyle w:val="ListParagraph"/>
        <w:widowControl w:val="0"/>
        <w:numPr>
          <w:ilvl w:val="0"/>
          <w:numId w:val="1"/>
        </w:numPr>
      </w:pPr>
      <w:r w:rsidRPr="00DF734C">
        <w:t>Nakamura, H., et al. (2022), The OECD/NEA Working Group on the Analysis and Management of Accident (WGAMA): Advances in Codes and Analyses to Support Safety Demonstration of Nuclear Technology Innovations, Proc.</w:t>
      </w:r>
      <w:r w:rsidR="009F34E5">
        <w:t xml:space="preserve"> IAEA</w:t>
      </w:r>
      <w:r w:rsidRPr="00DF734C">
        <w:t xml:space="preserve"> Intl. Conf. on Topical Issues in Nuclear Installation Safety: Strengthening Safety of Evolutionary and Innovative Reactor Designs (TIC-2022), 18–21 Oct. 2022, Vienna, Austria</w:t>
      </w:r>
    </w:p>
    <w:p w14:paraId="393FE9A3" w14:textId="77777777" w:rsidR="0070715B" w:rsidRDefault="0070715B" w:rsidP="0070715B">
      <w:pPr>
        <w:widowControl w:val="0"/>
      </w:pPr>
    </w:p>
    <w:p w14:paraId="29780DFB" w14:textId="77777777" w:rsidR="007E2B5E" w:rsidRDefault="007E2B5E" w:rsidP="00C21323">
      <w:pPr>
        <w:pStyle w:val="ListParagraph"/>
        <w:widowControl w:val="0"/>
        <w:numPr>
          <w:ilvl w:val="0"/>
          <w:numId w:val="1"/>
        </w:numPr>
        <w:rPr>
          <w:rFonts w:eastAsia="MS PMincho"/>
        </w:rPr>
      </w:pPr>
      <w:r w:rsidRPr="003F0814">
        <w:rPr>
          <w:rFonts w:eastAsia="MS PMincho"/>
        </w:rPr>
        <w:t>OECD/NEA/CSNI document and WGAMA web pages</w:t>
      </w:r>
      <w:r>
        <w:rPr>
          <w:rFonts w:eastAsia="MS PMincho"/>
        </w:rPr>
        <w:t>,</w:t>
      </w:r>
      <w:r w:rsidRPr="003F0814">
        <w:rPr>
          <w:rFonts w:eastAsia="MS PMincho"/>
        </w:rPr>
        <w:t xml:space="preserve"> </w:t>
      </w:r>
    </w:p>
    <w:p w14:paraId="7DBD2FF2" w14:textId="77777777" w:rsidR="007E2B5E" w:rsidRPr="003F0814" w:rsidRDefault="00427A21" w:rsidP="005F32EF">
      <w:pPr>
        <w:pStyle w:val="ListParagraph"/>
        <w:widowControl w:val="0"/>
        <w:ind w:left="360"/>
        <w:jc w:val="left"/>
        <w:rPr>
          <w:rFonts w:eastAsia="MS PMincho"/>
        </w:rPr>
      </w:pPr>
      <w:hyperlink r:id="rId16" w:history="1">
        <w:r w:rsidR="007E2B5E" w:rsidRPr="003F0814">
          <w:rPr>
            <w:rStyle w:val="Hyperlink"/>
            <w:rFonts w:eastAsia="MS PMincho"/>
          </w:rPr>
          <w:t>https://www.oecd-nea.org/nsd/docs/indexcsni.html</w:t>
        </w:r>
      </w:hyperlink>
      <w:r w:rsidR="007E2B5E" w:rsidRPr="003F0814">
        <w:rPr>
          <w:rFonts w:eastAsia="MS PMincho"/>
        </w:rPr>
        <w:t>,</w:t>
      </w:r>
    </w:p>
    <w:p w14:paraId="5DE547FB" w14:textId="77777777" w:rsidR="007E2B5E" w:rsidRDefault="00427A21" w:rsidP="005F32EF">
      <w:pPr>
        <w:pStyle w:val="ListParagraph"/>
        <w:widowControl w:val="0"/>
        <w:ind w:left="360"/>
        <w:jc w:val="left"/>
        <w:rPr>
          <w:rFonts w:eastAsia="MS PMincho"/>
        </w:rPr>
      </w:pPr>
      <w:hyperlink r:id="rId17" w:history="1">
        <w:r w:rsidR="007E2B5E" w:rsidRPr="0083434C">
          <w:rPr>
            <w:rStyle w:val="Hyperlink"/>
            <w:rFonts w:eastAsia="MS PMincho"/>
          </w:rPr>
          <w:t>https://www.oecd-nea.org/jcms/pl_23462</w:t>
        </w:r>
      </w:hyperlink>
      <w:r w:rsidR="007E2B5E" w:rsidRPr="003F0814">
        <w:rPr>
          <w:rFonts w:eastAsia="MS PMincho"/>
        </w:rPr>
        <w:t>, and</w:t>
      </w:r>
      <w:r w:rsidR="007E2B5E">
        <w:rPr>
          <w:rFonts w:eastAsia="MS PMincho"/>
        </w:rPr>
        <w:t xml:space="preserve"> </w:t>
      </w:r>
    </w:p>
    <w:p w14:paraId="63F2DDF7" w14:textId="61746211" w:rsidR="0070715B" w:rsidRPr="005F32EF" w:rsidRDefault="00427A21" w:rsidP="005F32EF">
      <w:pPr>
        <w:pStyle w:val="ListParagraph"/>
        <w:widowControl w:val="0"/>
        <w:ind w:left="360"/>
        <w:jc w:val="left"/>
        <w:rPr>
          <w:rFonts w:eastAsia="MS PMincho"/>
        </w:rPr>
      </w:pPr>
      <w:hyperlink r:id="rId18" w:history="1">
        <w:r w:rsidR="007E2B5E" w:rsidRPr="0083434C">
          <w:rPr>
            <w:rStyle w:val="Hyperlink"/>
            <w:rFonts w:eastAsia="MS PMincho"/>
          </w:rPr>
          <w:t>https://www.oecd-nea.org/documents /</w:t>
        </w:r>
      </w:hyperlink>
      <w:r w:rsidR="007E2B5E">
        <w:rPr>
          <w:rFonts w:eastAsia="MS PMincho"/>
        </w:rPr>
        <w:t xml:space="preserve"> </w:t>
      </w:r>
      <w:r w:rsidR="007E2B5E" w:rsidRPr="003F0814">
        <w:rPr>
          <w:rFonts w:eastAsia="MS PMincho"/>
        </w:rPr>
        <w:t>(for NEA delegates)</w:t>
      </w:r>
    </w:p>
    <w:p w14:paraId="6C150BC7" w14:textId="77777777" w:rsidR="005429D0" w:rsidRDefault="005429D0" w:rsidP="005F32EF">
      <w:pPr>
        <w:pStyle w:val="BodyTextIndent"/>
        <w:widowControl w:val="0"/>
        <w:ind w:left="360" w:firstLine="0"/>
      </w:pPr>
    </w:p>
    <w:p w14:paraId="0878C73F" w14:textId="03E0F879" w:rsidR="00DF734C" w:rsidRDefault="00DF734C" w:rsidP="005F32EF">
      <w:pPr>
        <w:pStyle w:val="BodyTextIndent"/>
        <w:widowControl w:val="0"/>
        <w:numPr>
          <w:ilvl w:val="0"/>
          <w:numId w:val="1"/>
        </w:numPr>
      </w:pPr>
      <w:r w:rsidRPr="00DF734C">
        <w:t xml:space="preserve">NEA, Safety Joint Research Project Databases maintained by the NEA Data Bank, URL: </w:t>
      </w:r>
      <w:hyperlink r:id="rId19" w:history="1">
        <w:r w:rsidRPr="009F06AD">
          <w:rPr>
            <w:rStyle w:val="Hyperlink"/>
          </w:rPr>
          <w:t>https://www.oecd-nea.org/dbcps/safety</w:t>
        </w:r>
      </w:hyperlink>
    </w:p>
    <w:p w14:paraId="49B092F0" w14:textId="77777777" w:rsidR="0070715B" w:rsidRDefault="0070715B" w:rsidP="0070715B">
      <w:pPr>
        <w:widowControl w:val="0"/>
      </w:pPr>
    </w:p>
    <w:p w14:paraId="1601F04F" w14:textId="77777777" w:rsidR="0070715B" w:rsidRPr="00925AFE" w:rsidRDefault="0070715B" w:rsidP="0070715B">
      <w:pPr>
        <w:pStyle w:val="ListParagraph"/>
        <w:widowControl w:val="0"/>
        <w:numPr>
          <w:ilvl w:val="0"/>
          <w:numId w:val="1"/>
        </w:numPr>
      </w:pPr>
      <w:r>
        <w:t>NEA (</w:t>
      </w:r>
      <w:bookmarkStart w:id="1" w:name="_GoBack"/>
      <w:r w:rsidRPr="00C21323">
        <w:rPr>
          <w:i/>
        </w:rPr>
        <w:t>forthcoming</w:t>
      </w:r>
      <w:bookmarkEnd w:id="1"/>
      <w:r>
        <w:t xml:space="preserve">), </w:t>
      </w:r>
      <w:r w:rsidRPr="001C224B">
        <w:t>Summary document for OECD/NEA/CSNI specialists meeting on transient thermal-hydraulics in water cooled nuclear reactors (SM-TH)</w:t>
      </w:r>
      <w:r>
        <w:t xml:space="preserve">, </w:t>
      </w:r>
      <w:r w:rsidRPr="001C224B">
        <w:t>NEA/CSNI/R(2023)1</w:t>
      </w:r>
    </w:p>
    <w:p w14:paraId="636CC87C" w14:textId="77777777" w:rsidR="0070715B" w:rsidRDefault="0070715B" w:rsidP="0070715B">
      <w:pPr>
        <w:widowControl w:val="0"/>
      </w:pPr>
    </w:p>
    <w:p w14:paraId="5F542951" w14:textId="1291B87A" w:rsidR="0070715B" w:rsidRPr="00925AFE" w:rsidRDefault="0070715B" w:rsidP="001122FD">
      <w:pPr>
        <w:pStyle w:val="ListParagraph"/>
        <w:widowControl w:val="0"/>
        <w:numPr>
          <w:ilvl w:val="0"/>
          <w:numId w:val="1"/>
        </w:numPr>
      </w:pPr>
      <w:r>
        <w:t>Mascari F.,</w:t>
      </w:r>
      <w:r w:rsidRPr="007255B3">
        <w:t xml:space="preserve"> </w:t>
      </w:r>
      <w:r>
        <w:t xml:space="preserve">et al., (2023) </w:t>
      </w:r>
      <w:r w:rsidRPr="007255B3">
        <w:t>NEA/CSNI/WGAMA “Specialists meeting on Nuclear Thermal-Hydraulics in water cooled reactors</w:t>
      </w:r>
      <w:r>
        <w:t>,</w:t>
      </w:r>
      <w:r w:rsidRPr="007255B3">
        <w:t>”</w:t>
      </w:r>
      <w:r>
        <w:t xml:space="preserve"> Special Issue</w:t>
      </w:r>
      <w:r w:rsidRPr="00312596">
        <w:t xml:space="preserve"> </w:t>
      </w:r>
      <w:r>
        <w:t xml:space="preserve">in </w:t>
      </w:r>
      <w:r w:rsidRPr="00312596">
        <w:t>Nuclear Engineering and Design</w:t>
      </w:r>
      <w:r w:rsidR="001122FD">
        <w:t xml:space="preserve">, </w:t>
      </w:r>
      <w:hyperlink r:id="rId20" w:history="1">
        <w:r w:rsidR="001122FD" w:rsidRPr="00D950DC">
          <w:rPr>
            <w:rStyle w:val="Hyperlink"/>
          </w:rPr>
          <w:t>https://www.sciencedirect.com/journal/nuclear-engineering-and-design/special-issue/10VTNT880D5</w:t>
        </w:r>
      </w:hyperlink>
      <w:r w:rsidR="001122FD">
        <w:t xml:space="preserve"> </w:t>
      </w:r>
    </w:p>
    <w:p w14:paraId="2D9E1195" w14:textId="77777777" w:rsidR="00DF734C" w:rsidRDefault="00DF734C" w:rsidP="005F32EF">
      <w:pPr>
        <w:pStyle w:val="BodyTextIndent"/>
        <w:widowControl w:val="0"/>
        <w:ind w:left="360" w:firstLine="0"/>
      </w:pPr>
    </w:p>
    <w:p w14:paraId="27007C18" w14:textId="4587EF09" w:rsidR="00862A83" w:rsidRDefault="00862A83" w:rsidP="00C21323">
      <w:pPr>
        <w:pStyle w:val="BodyTextIndent"/>
        <w:widowControl w:val="0"/>
        <w:numPr>
          <w:ilvl w:val="0"/>
          <w:numId w:val="1"/>
        </w:numPr>
        <w:ind w:left="357"/>
      </w:pPr>
      <w:r>
        <w:t>NEA (</w:t>
      </w:r>
      <w:r w:rsidRPr="00C21323">
        <w:rPr>
          <w:i/>
        </w:rPr>
        <w:t>forthcoming</w:t>
      </w:r>
      <w:r>
        <w:t>), Technical Opinion Paper on the Use of CFD for Nuclear Safety, NEA No. 7615, OECD Publishing, Paris.</w:t>
      </w:r>
    </w:p>
    <w:p w14:paraId="0AE9F5A1" w14:textId="77777777" w:rsidR="005429D0" w:rsidRDefault="005429D0" w:rsidP="00C21323">
      <w:pPr>
        <w:pStyle w:val="BodyTextIndent"/>
        <w:widowControl w:val="0"/>
        <w:ind w:left="357" w:firstLine="0"/>
      </w:pPr>
    </w:p>
    <w:p w14:paraId="502A465B" w14:textId="77777777" w:rsidR="005429D0" w:rsidRDefault="005429D0" w:rsidP="00C21323">
      <w:pPr>
        <w:pStyle w:val="BodyTextIndent"/>
        <w:widowControl w:val="0"/>
        <w:numPr>
          <w:ilvl w:val="0"/>
          <w:numId w:val="1"/>
        </w:numPr>
        <w:ind w:left="357"/>
      </w:pPr>
      <w:r>
        <w:t xml:space="preserve">NEA (2015), Assessment of CFD Codes for Nuclear Reactor Safety Problems - revision 2, NEA/CSNI/R(2014)12, OECD Publishing, Paris, </w:t>
      </w:r>
      <w:hyperlink r:id="rId21" w:history="1">
        <w:r w:rsidRPr="009F06AD">
          <w:rPr>
            <w:rStyle w:val="Hyperlink"/>
          </w:rPr>
          <w:t>https://www.oecd-nea.org/jcms/pl_19550/assessment-of-cfd-codes-for-nuclear-reactor-safety-problems-</w:t>
        </w:r>
        <w:r w:rsidRPr="009F06AD">
          <w:rPr>
            <w:rStyle w:val="Hyperlink"/>
          </w:rPr>
          <w:t>revision-2</w:t>
        </w:r>
      </w:hyperlink>
      <w:r>
        <w:t>.</w:t>
      </w:r>
    </w:p>
    <w:p w14:paraId="732C1E3C" w14:textId="77777777" w:rsidR="00862A83" w:rsidRDefault="00862A83" w:rsidP="00C21323">
      <w:pPr>
        <w:pStyle w:val="BodyTextIndent"/>
        <w:widowControl w:val="0"/>
        <w:ind w:left="357" w:firstLine="0"/>
      </w:pPr>
    </w:p>
    <w:p w14:paraId="5E85162C" w14:textId="48E30004" w:rsidR="00862A83" w:rsidRDefault="00862A83" w:rsidP="00C21323">
      <w:pPr>
        <w:pStyle w:val="BodyTextIndent"/>
        <w:widowControl w:val="0"/>
        <w:numPr>
          <w:ilvl w:val="0"/>
          <w:numId w:val="1"/>
        </w:numPr>
        <w:ind w:left="357"/>
      </w:pPr>
      <w:r>
        <w:t>NEA (</w:t>
      </w:r>
      <w:r w:rsidRPr="00C21323">
        <w:rPr>
          <w:i/>
        </w:rPr>
        <w:t>forthcoming</w:t>
      </w:r>
      <w:r>
        <w:t>), Best Practice Guidelines for the Use of CFD in Nuclear Reactor Safety Applications - Revision, NEA/CSNI/R(2022)10, OECD Publishing, Paris.</w:t>
      </w:r>
    </w:p>
    <w:p w14:paraId="5AD810B3" w14:textId="77777777" w:rsidR="00862A83" w:rsidRDefault="00862A83" w:rsidP="00C21323">
      <w:pPr>
        <w:pStyle w:val="BodyTextIndent"/>
        <w:widowControl w:val="0"/>
        <w:ind w:left="357" w:firstLine="0"/>
      </w:pPr>
    </w:p>
    <w:p w14:paraId="32B08C26" w14:textId="15581E2C" w:rsidR="00862A83" w:rsidRDefault="00862A83" w:rsidP="00C21323">
      <w:pPr>
        <w:pStyle w:val="BodyTextIndent"/>
        <w:widowControl w:val="0"/>
        <w:numPr>
          <w:ilvl w:val="0"/>
          <w:numId w:val="1"/>
        </w:numPr>
        <w:ind w:left="357"/>
      </w:pPr>
      <w:r>
        <w:t xml:space="preserve">NEA (2015), Best Practice Guidelines for the use of CFD in Nuclear Reactor Safety Applications - revision, NEA/CSNI/R(2014)11, OECD Publishing, Paris, </w:t>
      </w:r>
      <w:hyperlink r:id="rId22" w:history="1">
        <w:r w:rsidRPr="009F06AD">
          <w:rPr>
            <w:rStyle w:val="Hyperlink"/>
          </w:rPr>
          <w:t>https://www.oecd-nea.org/jcms/pl_19548/</w:t>
        </w:r>
      </w:hyperlink>
      <w:r>
        <w:t>.</w:t>
      </w:r>
    </w:p>
    <w:p w14:paraId="708A3055" w14:textId="77777777" w:rsidR="005429D0" w:rsidRDefault="005429D0" w:rsidP="00C21323">
      <w:pPr>
        <w:pStyle w:val="BodyTextIndent"/>
        <w:widowControl w:val="0"/>
        <w:ind w:left="357" w:firstLine="0"/>
      </w:pPr>
    </w:p>
    <w:p w14:paraId="3EEC9220" w14:textId="47846B20" w:rsidR="005429D0" w:rsidRDefault="005429D0" w:rsidP="00C21323">
      <w:pPr>
        <w:pStyle w:val="BodyTextIndent"/>
        <w:widowControl w:val="0"/>
        <w:numPr>
          <w:ilvl w:val="0"/>
          <w:numId w:val="1"/>
        </w:numPr>
        <w:ind w:left="357"/>
      </w:pPr>
      <w:r>
        <w:t xml:space="preserve">NEA (2002), Proceedings of an exploratory meeting of experts to define an action plan on the application of computational fluid dynamics (CFD) to nuclear reactor safety problems - Aix en Provence - 15-16 May 2002, NEA/CSNI/R(2002)16, OECD Publishing, Paris, </w:t>
      </w:r>
      <w:hyperlink r:id="rId23" w:history="1">
        <w:r w:rsidRPr="009F06AD">
          <w:rPr>
            <w:rStyle w:val="Hyperlink"/>
          </w:rPr>
          <w:t>https://www.oecd-nea.org/jcms/pl_17740/</w:t>
        </w:r>
      </w:hyperlink>
      <w:r>
        <w:t>.</w:t>
      </w:r>
    </w:p>
    <w:p w14:paraId="2D29DCEE" w14:textId="77777777" w:rsidR="005429D0" w:rsidRDefault="005429D0" w:rsidP="00C21323">
      <w:pPr>
        <w:pStyle w:val="BodyTextIndent"/>
        <w:widowControl w:val="0"/>
        <w:ind w:left="357" w:firstLine="0"/>
      </w:pPr>
    </w:p>
    <w:p w14:paraId="068D245C" w14:textId="640DE66C" w:rsidR="00925AFE" w:rsidRDefault="00925AFE" w:rsidP="00C21323">
      <w:pPr>
        <w:pStyle w:val="BodyTextIndent"/>
        <w:widowControl w:val="0"/>
        <w:numPr>
          <w:ilvl w:val="0"/>
          <w:numId w:val="1"/>
        </w:numPr>
        <w:ind w:left="357"/>
      </w:pPr>
      <w:r>
        <w:t>NEA (</w:t>
      </w:r>
      <w:r w:rsidRPr="00C21323">
        <w:rPr>
          <w:i/>
        </w:rPr>
        <w:t>forthcoming</w:t>
      </w:r>
      <w:r>
        <w:t xml:space="preserve">), </w:t>
      </w:r>
      <w:r w:rsidR="009516F4" w:rsidRPr="009516F4">
        <w:t>Workshop on Experimental Validation and Application of CFD and CMFD Codes to Nuclear Reactor Safety Issues</w:t>
      </w:r>
      <w:r w:rsidR="009516F4">
        <w:t xml:space="preserve"> (CFD4NRS-9).</w:t>
      </w:r>
    </w:p>
    <w:p w14:paraId="73FD287E" w14:textId="77777777" w:rsidR="00925AFE" w:rsidRDefault="00925AFE" w:rsidP="00C21323">
      <w:pPr>
        <w:pStyle w:val="BodyTextIndent"/>
        <w:widowControl w:val="0"/>
        <w:ind w:left="357" w:firstLine="0"/>
      </w:pPr>
    </w:p>
    <w:p w14:paraId="48790B8B" w14:textId="53E09278" w:rsidR="005429D0" w:rsidRDefault="005429D0" w:rsidP="00C21323">
      <w:pPr>
        <w:pStyle w:val="BodyTextIndent"/>
        <w:widowControl w:val="0"/>
        <w:numPr>
          <w:ilvl w:val="0"/>
          <w:numId w:val="1"/>
        </w:numPr>
        <w:ind w:left="357"/>
      </w:pPr>
      <w:r>
        <w:t xml:space="preserve">NEA (2022), Requirements for CFD-Grade Experiments for Nuclear Reactor Thermal Hydraulics, NEA/CSNI/R(2020)3, OECD Publishing, Paris, </w:t>
      </w:r>
      <w:hyperlink r:id="rId24" w:history="1">
        <w:r w:rsidR="00925AFE" w:rsidRPr="009F06AD">
          <w:rPr>
            <w:rStyle w:val="Hyperlink"/>
          </w:rPr>
          <w:t>https://www.oecd-nea.org/jcms/pl_65844/</w:t>
        </w:r>
      </w:hyperlink>
      <w:r>
        <w:t>.</w:t>
      </w:r>
    </w:p>
    <w:p w14:paraId="695FDA43" w14:textId="77777777" w:rsidR="00925AFE" w:rsidRDefault="00925AFE" w:rsidP="00C21323">
      <w:pPr>
        <w:pStyle w:val="BodyTextIndent"/>
        <w:widowControl w:val="0"/>
        <w:ind w:left="357" w:firstLine="0"/>
      </w:pPr>
    </w:p>
    <w:p w14:paraId="5A3E0766" w14:textId="3E0E8404" w:rsidR="00925AFE" w:rsidRPr="005F32EF" w:rsidRDefault="00925AFE" w:rsidP="00C21323">
      <w:pPr>
        <w:pStyle w:val="ListParagraph"/>
        <w:widowControl w:val="0"/>
        <w:numPr>
          <w:ilvl w:val="0"/>
          <w:numId w:val="1"/>
        </w:numPr>
        <w:ind w:left="357"/>
      </w:pPr>
      <w:r w:rsidRPr="00925AFE">
        <w:t xml:space="preserve">NEA (2019), NEA </w:t>
      </w:r>
      <w:r w:rsidRPr="005F32EF">
        <w:t>Benchmark Exercise: Computational Fluid Dynamic Prediction and Uncertainty Quantification of a GEMIX Mixing Layer Test, NEA/CSNI/R(2017)19</w:t>
      </w:r>
      <w:r w:rsidR="007077A5" w:rsidRPr="005F32EF">
        <w:t xml:space="preserve"> </w:t>
      </w:r>
      <w:r w:rsidRPr="005F32EF">
        <w:t xml:space="preserve">OECD Publishing, Paris,  </w:t>
      </w:r>
      <w:hyperlink r:id="rId25" w:history="1">
        <w:r w:rsidRPr="005F32EF">
          <w:rPr>
            <w:rStyle w:val="Hyperlink"/>
          </w:rPr>
          <w:t>https://www.oecd-nea.org/jcms/pl_19838/</w:t>
        </w:r>
      </w:hyperlink>
      <w:r w:rsidRPr="005F32EF">
        <w:t xml:space="preserve"> </w:t>
      </w:r>
    </w:p>
    <w:p w14:paraId="32F844CE" w14:textId="77777777" w:rsidR="001A068C" w:rsidRPr="005F32EF" w:rsidRDefault="001A068C" w:rsidP="00C21323">
      <w:pPr>
        <w:pStyle w:val="ListParagraph"/>
        <w:widowControl w:val="0"/>
        <w:ind w:left="357"/>
      </w:pPr>
    </w:p>
    <w:p w14:paraId="1309FEA3" w14:textId="77777777" w:rsidR="007E2B5E" w:rsidRPr="005F32EF" w:rsidRDefault="007E2B5E" w:rsidP="00C21323">
      <w:pPr>
        <w:pStyle w:val="ListParagraph"/>
        <w:widowControl w:val="0"/>
        <w:numPr>
          <w:ilvl w:val="0"/>
          <w:numId w:val="1"/>
        </w:numPr>
        <w:ind w:left="357"/>
      </w:pPr>
      <w:r w:rsidRPr="005F32EF">
        <w:rPr>
          <w:rFonts w:eastAsia="MS PMincho"/>
        </w:rPr>
        <w:t xml:space="preserve">NEA, Advancing the Understanding of Spent-fuel-pools during Loss-of-Cooling Accidents (POLCA) Project, </w:t>
      </w:r>
      <w:hyperlink r:id="rId26" w:history="1">
        <w:r w:rsidRPr="005F32EF">
          <w:rPr>
            <w:rStyle w:val="Hyperlink"/>
            <w:rFonts w:eastAsia="MS PMincho"/>
          </w:rPr>
          <w:t>https://www.oecd-nea.org/jcms/pl_80836/</w:t>
        </w:r>
      </w:hyperlink>
    </w:p>
    <w:p w14:paraId="017A7BD3" w14:textId="77777777" w:rsidR="007E2B5E" w:rsidRPr="005F32EF" w:rsidRDefault="007E2B5E" w:rsidP="00C21323">
      <w:pPr>
        <w:pStyle w:val="ListParagraph"/>
        <w:widowControl w:val="0"/>
        <w:ind w:left="357"/>
      </w:pPr>
    </w:p>
    <w:p w14:paraId="52ED0180" w14:textId="77777777" w:rsidR="007E2B5E" w:rsidRPr="005F32EF" w:rsidRDefault="007E2B5E" w:rsidP="00C21323">
      <w:pPr>
        <w:pStyle w:val="ListParagraph"/>
        <w:widowControl w:val="0"/>
        <w:numPr>
          <w:ilvl w:val="0"/>
          <w:numId w:val="1"/>
        </w:numPr>
        <w:ind w:left="357"/>
      </w:pPr>
      <w:r w:rsidRPr="005F32EF">
        <w:t xml:space="preserve">NEA (1987), CSNI code validation matrix of thermo-hydraulic codes for LWR LOCA and transients, NEA/CSNI-132, OECD Publishing, Paris, </w:t>
      </w:r>
      <w:hyperlink r:id="rId27" w:history="1">
        <w:r w:rsidRPr="005F32EF">
          <w:rPr>
            <w:rStyle w:val="Hyperlink"/>
          </w:rPr>
          <w:t>https://www.oecd-nea.org/upload/docs/application/pdf/2020-01/csni87-132.pdf</w:t>
        </w:r>
      </w:hyperlink>
    </w:p>
    <w:p w14:paraId="695F8003" w14:textId="77777777" w:rsidR="007E2B5E" w:rsidRPr="005F32EF" w:rsidRDefault="007E2B5E" w:rsidP="00C21323">
      <w:pPr>
        <w:pStyle w:val="ListParagraph"/>
        <w:widowControl w:val="0"/>
        <w:ind w:left="357"/>
      </w:pPr>
    </w:p>
    <w:p w14:paraId="0FBEE9B4" w14:textId="77777777" w:rsidR="007E2B5E" w:rsidRPr="005F32EF" w:rsidRDefault="007E2B5E" w:rsidP="00C21323">
      <w:pPr>
        <w:pStyle w:val="ListParagraph"/>
        <w:widowControl w:val="0"/>
        <w:numPr>
          <w:ilvl w:val="0"/>
          <w:numId w:val="1"/>
        </w:numPr>
        <w:ind w:left="357"/>
      </w:pPr>
      <w:r w:rsidRPr="005F32EF">
        <w:t xml:space="preserve">NEA (1994), Separate effects test matrix for thermal-hydraulic code validation, Vol. 1 and 2, NEA/CSNI/R(1993)14, OECD Publishing, Paris. (also referenced as: OCDE/GD(94)82, 83), </w:t>
      </w:r>
      <w:hyperlink r:id="rId28" w:history="1">
        <w:r w:rsidRPr="005F32EF">
          <w:rPr>
            <w:rStyle w:val="Hyperlink"/>
          </w:rPr>
          <w:t>https://www.oecd-nea.org/jcms/pl_15968</w:t>
        </w:r>
      </w:hyperlink>
      <w:r w:rsidRPr="005F32EF">
        <w:t xml:space="preserve"> </w:t>
      </w:r>
    </w:p>
    <w:p w14:paraId="2A186679" w14:textId="77777777" w:rsidR="007E2B5E" w:rsidRPr="005F32EF" w:rsidRDefault="007E2B5E" w:rsidP="00C21323">
      <w:pPr>
        <w:pStyle w:val="ListParagraph"/>
        <w:widowControl w:val="0"/>
        <w:ind w:left="357"/>
      </w:pPr>
    </w:p>
    <w:p w14:paraId="051FFFC2" w14:textId="77777777" w:rsidR="007E2B5E" w:rsidRPr="005F32EF" w:rsidRDefault="007E2B5E" w:rsidP="00C21323">
      <w:pPr>
        <w:pStyle w:val="ListParagraph"/>
        <w:widowControl w:val="0"/>
        <w:numPr>
          <w:ilvl w:val="0"/>
          <w:numId w:val="1"/>
        </w:numPr>
        <w:ind w:left="357"/>
      </w:pPr>
      <w:r w:rsidRPr="005F32EF">
        <w:t xml:space="preserve">NEA (1996), In-vessel core degradation code validation matrix, NEA/CSNI/R(1995)21, OECD Publishing, Paris, (also referenced as: OCDE/GD(96)14), </w:t>
      </w:r>
      <w:hyperlink r:id="rId29" w:history="1">
        <w:r w:rsidRPr="005F32EF">
          <w:rPr>
            <w:rStyle w:val="Hyperlink"/>
          </w:rPr>
          <w:t>https://www.oecd-nea.org/jcms/pl_16086</w:t>
        </w:r>
      </w:hyperlink>
      <w:r w:rsidRPr="005F32EF">
        <w:t xml:space="preserve"> </w:t>
      </w:r>
    </w:p>
    <w:p w14:paraId="37A37A1D" w14:textId="77777777" w:rsidR="007E2B5E" w:rsidRPr="005F32EF" w:rsidRDefault="007E2B5E" w:rsidP="00C21323">
      <w:pPr>
        <w:pStyle w:val="ListParagraph"/>
        <w:widowControl w:val="0"/>
        <w:ind w:left="357"/>
      </w:pPr>
    </w:p>
    <w:p w14:paraId="15906CB3" w14:textId="77777777" w:rsidR="007E2B5E" w:rsidRPr="005F32EF" w:rsidRDefault="007E2B5E" w:rsidP="00C21323">
      <w:pPr>
        <w:pStyle w:val="ListParagraph"/>
        <w:widowControl w:val="0"/>
        <w:numPr>
          <w:ilvl w:val="0"/>
          <w:numId w:val="1"/>
        </w:numPr>
        <w:ind w:left="357"/>
      </w:pPr>
      <w:r w:rsidRPr="005F32EF">
        <w:lastRenderedPageBreak/>
        <w:t xml:space="preserve">NEA (1997), Evaluation of the separate effects tests (set) validation matrix, NEA/CSNI/R(1996)16, OECD Publishing, Paris, </w:t>
      </w:r>
      <w:hyperlink r:id="rId30" w:history="1">
        <w:r w:rsidRPr="005F32EF">
          <w:rPr>
            <w:rStyle w:val="Hyperlink"/>
          </w:rPr>
          <w:t>https://www.oecd-nea.org/jcms/pl_16132</w:t>
        </w:r>
      </w:hyperlink>
      <w:r w:rsidRPr="005F32EF">
        <w:t xml:space="preserve"> </w:t>
      </w:r>
    </w:p>
    <w:p w14:paraId="60A6D16A" w14:textId="77777777" w:rsidR="007E2B5E" w:rsidRPr="005F32EF" w:rsidRDefault="007E2B5E" w:rsidP="00C21323">
      <w:pPr>
        <w:pStyle w:val="ListParagraph"/>
        <w:widowControl w:val="0"/>
        <w:ind w:left="357"/>
      </w:pPr>
    </w:p>
    <w:p w14:paraId="7ABCA6CC" w14:textId="77777777" w:rsidR="007E2B5E" w:rsidRPr="005F32EF" w:rsidRDefault="007E2B5E" w:rsidP="00C21323">
      <w:pPr>
        <w:pStyle w:val="ListParagraph"/>
        <w:widowControl w:val="0"/>
        <w:numPr>
          <w:ilvl w:val="0"/>
          <w:numId w:val="1"/>
        </w:numPr>
        <w:ind w:left="357"/>
      </w:pPr>
      <w:r w:rsidRPr="005F32EF">
        <w:t xml:space="preserve">NEA (1996), CSNI Integral test facility validation matrix for the assessment of thermal-hydraulic codes for LWR LOCA and transients, NEA/CSNI/R(1996)17, OECD Publishing, Paris, (also referenced as: OCDE/GD(97)12), </w:t>
      </w:r>
      <w:hyperlink r:id="rId31" w:history="1">
        <w:r w:rsidRPr="005F32EF">
          <w:rPr>
            <w:rStyle w:val="Hyperlink"/>
          </w:rPr>
          <w:t>https://www.oecd-nea.org/jcms/pl_16134</w:t>
        </w:r>
      </w:hyperlink>
      <w:r w:rsidRPr="005F32EF">
        <w:t xml:space="preserve"> </w:t>
      </w:r>
    </w:p>
    <w:p w14:paraId="3257D167" w14:textId="77777777" w:rsidR="007E2B5E" w:rsidRPr="005F32EF" w:rsidRDefault="007E2B5E" w:rsidP="007E2B5E">
      <w:pPr>
        <w:pStyle w:val="ListParagraph"/>
        <w:widowControl w:val="0"/>
        <w:ind w:left="360"/>
      </w:pPr>
    </w:p>
    <w:p w14:paraId="6E092878" w14:textId="77777777" w:rsidR="007E2B5E" w:rsidRPr="001529F4" w:rsidRDefault="007E2B5E" w:rsidP="007E2B5E">
      <w:pPr>
        <w:pStyle w:val="ListParagraph"/>
        <w:widowControl w:val="0"/>
        <w:numPr>
          <w:ilvl w:val="0"/>
          <w:numId w:val="1"/>
        </w:numPr>
        <w:rPr>
          <w:lang w:val="fr-FR"/>
        </w:rPr>
      </w:pPr>
      <w:r w:rsidRPr="001529F4">
        <w:rPr>
          <w:lang w:val="fr-FR"/>
        </w:rPr>
        <w:t xml:space="preserve">NEA (2000), In-Vessel Core Degradation Code Validation Matrix, NEA/CSNI/R(2000)21, Paris, </w:t>
      </w:r>
      <w:hyperlink r:id="rId32" w:history="1">
        <w:r w:rsidRPr="001529F4">
          <w:rPr>
            <w:rStyle w:val="Hyperlink"/>
            <w:lang w:val="fr-FR"/>
          </w:rPr>
          <w:t>https://www.oecd-nea.org/jcms/pl_17476</w:t>
        </w:r>
      </w:hyperlink>
      <w:r w:rsidRPr="001529F4">
        <w:rPr>
          <w:lang w:val="fr-FR"/>
        </w:rPr>
        <w:t xml:space="preserve"> </w:t>
      </w:r>
    </w:p>
    <w:p w14:paraId="70626B71" w14:textId="77777777" w:rsidR="007E2B5E" w:rsidRPr="001529F4" w:rsidRDefault="007E2B5E" w:rsidP="007E2B5E">
      <w:pPr>
        <w:pStyle w:val="ListParagraph"/>
        <w:widowControl w:val="0"/>
        <w:ind w:left="360"/>
        <w:rPr>
          <w:lang w:val="fr-FR"/>
        </w:rPr>
      </w:pPr>
    </w:p>
    <w:p w14:paraId="0AC0C4F7" w14:textId="77777777" w:rsidR="007E2B5E" w:rsidRPr="005F32EF" w:rsidRDefault="007E2B5E" w:rsidP="007E2B5E">
      <w:pPr>
        <w:pStyle w:val="ListParagraph"/>
        <w:widowControl w:val="0"/>
        <w:numPr>
          <w:ilvl w:val="0"/>
          <w:numId w:val="1"/>
        </w:numPr>
      </w:pPr>
      <w:r w:rsidRPr="005F32EF">
        <w:t xml:space="preserve">NEA (2001), Validation Matrix for the Assessment of Thermal-Hydraulic Codes for VVER LOCA and Transients, A Report by the OECD Support Group on the VVER Thermal-Hydraulic Code Validation Matrix, NEA/CSNI/R(2001)4, OECD Publishing, Paris,, </w:t>
      </w:r>
      <w:hyperlink r:id="rId33" w:history="1">
        <w:r w:rsidRPr="005F32EF">
          <w:rPr>
            <w:rStyle w:val="Hyperlink"/>
          </w:rPr>
          <w:t>https://www.oecd-nea.org/jcms/pl_17492</w:t>
        </w:r>
      </w:hyperlink>
      <w:r w:rsidRPr="005F32EF">
        <w:t xml:space="preserve"> </w:t>
      </w:r>
    </w:p>
    <w:p w14:paraId="2050F566" w14:textId="77777777" w:rsidR="007E2B5E" w:rsidRPr="005F32EF" w:rsidRDefault="007E2B5E" w:rsidP="007E2B5E">
      <w:pPr>
        <w:pStyle w:val="ListParagraph"/>
        <w:widowControl w:val="0"/>
        <w:ind w:left="360"/>
      </w:pPr>
    </w:p>
    <w:p w14:paraId="5CE31056" w14:textId="77777777" w:rsidR="007E2B5E" w:rsidRPr="005F32EF" w:rsidRDefault="007E2B5E" w:rsidP="007E2B5E">
      <w:pPr>
        <w:pStyle w:val="ListParagraph"/>
        <w:widowControl w:val="0"/>
        <w:numPr>
          <w:ilvl w:val="0"/>
          <w:numId w:val="1"/>
        </w:numPr>
        <w:rPr>
          <w:lang w:val="fr-FR"/>
        </w:rPr>
      </w:pPr>
      <w:r w:rsidRPr="005F32EF">
        <w:rPr>
          <w:lang w:val="fr-FR"/>
        </w:rPr>
        <w:t xml:space="preserve">NEA (2014), Contaminent Code Validation Matrix, NEA/CSNI/R(2014)3, Paris, </w:t>
      </w:r>
      <w:hyperlink r:id="rId34" w:history="1">
        <w:r w:rsidRPr="005F32EF">
          <w:rPr>
            <w:rStyle w:val="Hyperlink"/>
            <w:lang w:val="fr-FR"/>
          </w:rPr>
          <w:t>https://www.oecd-nea.org/jcms/pl_19413</w:t>
        </w:r>
      </w:hyperlink>
      <w:r w:rsidRPr="005F32EF">
        <w:rPr>
          <w:lang w:val="fr-FR"/>
        </w:rPr>
        <w:t xml:space="preserve"> </w:t>
      </w:r>
    </w:p>
    <w:p w14:paraId="0DF69B9F" w14:textId="77777777" w:rsidR="007E2B5E" w:rsidRPr="005F32EF" w:rsidRDefault="007E2B5E" w:rsidP="007E2B5E">
      <w:pPr>
        <w:pStyle w:val="ListParagraph"/>
        <w:widowControl w:val="0"/>
        <w:ind w:left="360"/>
        <w:rPr>
          <w:lang w:val="fr-FR"/>
        </w:rPr>
      </w:pPr>
    </w:p>
    <w:p w14:paraId="48BCD736" w14:textId="77777777" w:rsidR="007E2B5E" w:rsidRPr="005F32EF" w:rsidRDefault="007E2B5E" w:rsidP="007E2B5E">
      <w:pPr>
        <w:pStyle w:val="ListParagraph"/>
        <w:widowControl w:val="0"/>
        <w:numPr>
          <w:ilvl w:val="0"/>
          <w:numId w:val="1"/>
        </w:numPr>
      </w:pPr>
      <w:r w:rsidRPr="005F32EF">
        <w:t xml:space="preserve">NEA Data Bank, CSNI Code Validation Matrix: SEPARATE EFFECTS TEST DATA, </w:t>
      </w:r>
      <w:hyperlink r:id="rId35" w:history="1">
        <w:r w:rsidRPr="005F32EF">
          <w:rPr>
            <w:rStyle w:val="Hyperlink"/>
          </w:rPr>
          <w:t>https://www.oecd-nea.org/dbcps/ccvm/indexset.html</w:t>
        </w:r>
      </w:hyperlink>
    </w:p>
    <w:p w14:paraId="0F991227" w14:textId="77777777" w:rsidR="007E2B5E" w:rsidRPr="005F32EF" w:rsidRDefault="007E2B5E" w:rsidP="007E2B5E">
      <w:pPr>
        <w:pStyle w:val="ListParagraph"/>
        <w:widowControl w:val="0"/>
        <w:ind w:left="360"/>
      </w:pPr>
    </w:p>
    <w:p w14:paraId="7E5A2C58" w14:textId="77777777" w:rsidR="007E2B5E" w:rsidRPr="005F32EF" w:rsidRDefault="007E2B5E" w:rsidP="007E2B5E">
      <w:pPr>
        <w:pStyle w:val="ListParagraph"/>
        <w:widowControl w:val="0"/>
        <w:numPr>
          <w:ilvl w:val="0"/>
          <w:numId w:val="1"/>
        </w:numPr>
      </w:pPr>
      <w:r w:rsidRPr="005F32EF">
        <w:t xml:space="preserve">NEA Data Bank, CSNI Code Validation Matrix: INTEGRAL TEST DATA, NEA Data, </w:t>
      </w:r>
      <w:hyperlink r:id="rId36" w:history="1">
        <w:r w:rsidRPr="005F32EF">
          <w:rPr>
            <w:rStyle w:val="Hyperlink"/>
          </w:rPr>
          <w:t>https://www.oecd-nea.org/dbcps/ccvm/index.html</w:t>
        </w:r>
      </w:hyperlink>
    </w:p>
    <w:p w14:paraId="231E7B88" w14:textId="77777777" w:rsidR="007E2B5E" w:rsidRPr="005F32EF" w:rsidRDefault="007E2B5E" w:rsidP="005F32EF">
      <w:pPr>
        <w:pStyle w:val="ListParagraph"/>
        <w:widowControl w:val="0"/>
        <w:ind w:left="360"/>
      </w:pPr>
    </w:p>
    <w:p w14:paraId="797469E6" w14:textId="4E22AB9D" w:rsidR="001A068C" w:rsidRPr="005F32EF" w:rsidRDefault="001A068C" w:rsidP="001A068C">
      <w:pPr>
        <w:pStyle w:val="ListParagraph"/>
        <w:widowControl w:val="0"/>
        <w:numPr>
          <w:ilvl w:val="0"/>
          <w:numId w:val="1"/>
        </w:numPr>
      </w:pPr>
      <w:r w:rsidRPr="005F32EF">
        <w:t xml:space="preserve">NEA (2012), Main Benefits from 30 Years of Joint Projects in Nuclear Safety, NEA No. 7073, </w:t>
      </w:r>
      <w:hyperlink r:id="rId37" w:history="1">
        <w:r w:rsidRPr="005F32EF">
          <w:rPr>
            <w:rStyle w:val="Hyperlink"/>
          </w:rPr>
          <w:t>https://www.oecd-nea.org/jcms/pl_14784/</w:t>
        </w:r>
      </w:hyperlink>
      <w:r w:rsidRPr="005F32EF">
        <w:t xml:space="preserve"> </w:t>
      </w:r>
    </w:p>
    <w:p w14:paraId="21759802" w14:textId="77777777" w:rsidR="001A068C" w:rsidRPr="005F32EF" w:rsidRDefault="001A068C" w:rsidP="001A068C">
      <w:pPr>
        <w:widowControl w:val="0"/>
      </w:pPr>
    </w:p>
    <w:p w14:paraId="375546AA" w14:textId="4DEB5BAE" w:rsidR="001A068C" w:rsidRPr="005F32EF" w:rsidRDefault="001A068C" w:rsidP="001A068C">
      <w:pPr>
        <w:pStyle w:val="ListParagraph"/>
        <w:widowControl w:val="0"/>
        <w:numPr>
          <w:ilvl w:val="0"/>
          <w:numId w:val="1"/>
        </w:numPr>
      </w:pPr>
      <w:r w:rsidRPr="005F32EF">
        <w:t xml:space="preserve">NEA (2023), Nuclear Safety Research Joint Projects, </w:t>
      </w:r>
      <w:hyperlink r:id="rId38" w:history="1">
        <w:r w:rsidR="00C43ABC" w:rsidRPr="005F32EF">
          <w:rPr>
            <w:rStyle w:val="Hyperlink"/>
          </w:rPr>
          <w:t>https://www.oecd-nea.org/jcms/pl_72332/</w:t>
        </w:r>
      </w:hyperlink>
      <w:r w:rsidR="00C43ABC" w:rsidRPr="005F32EF">
        <w:t xml:space="preserve"> </w:t>
      </w:r>
      <w:r w:rsidRPr="005F32EF">
        <w:t xml:space="preserve"> </w:t>
      </w:r>
    </w:p>
    <w:p w14:paraId="0C9FDD2C" w14:textId="77777777" w:rsidR="00C43ABC" w:rsidRPr="005F32EF" w:rsidRDefault="00C43ABC" w:rsidP="005F32EF">
      <w:pPr>
        <w:pStyle w:val="ListParagraph"/>
        <w:widowControl w:val="0"/>
        <w:ind w:left="360"/>
      </w:pPr>
    </w:p>
    <w:p w14:paraId="5EC456B4" w14:textId="299145EB" w:rsidR="009F7DFD" w:rsidRPr="005F32EF" w:rsidRDefault="009F7DFD" w:rsidP="005F32EF">
      <w:pPr>
        <w:pStyle w:val="ListParagraph"/>
        <w:widowControl w:val="0"/>
        <w:numPr>
          <w:ilvl w:val="0"/>
          <w:numId w:val="1"/>
        </w:numPr>
      </w:pPr>
      <w:r w:rsidRPr="005F32EF">
        <w:t xml:space="preserve">NEA (2023), Brochure: Guidance and Principles for the Initiation and Conduct of Joint Safety Research Projects, </w:t>
      </w:r>
      <w:hyperlink r:id="rId39" w:history="1">
        <w:r w:rsidRPr="005F32EF">
          <w:rPr>
            <w:rStyle w:val="Hyperlink"/>
          </w:rPr>
          <w:t>https://www.oecd-nea.org/jcms/pl_76833/</w:t>
        </w:r>
      </w:hyperlink>
      <w:r w:rsidRPr="005F32EF">
        <w:t xml:space="preserve"> </w:t>
      </w:r>
    </w:p>
    <w:p w14:paraId="45341792" w14:textId="77777777" w:rsidR="00C43ABC" w:rsidRPr="005F32EF" w:rsidRDefault="00C43ABC" w:rsidP="005F32EF">
      <w:pPr>
        <w:pStyle w:val="ListParagraph"/>
        <w:widowControl w:val="0"/>
        <w:ind w:left="360"/>
      </w:pPr>
    </w:p>
    <w:p w14:paraId="2734A456" w14:textId="77777777" w:rsidR="00C43ABC" w:rsidRPr="005F32EF" w:rsidRDefault="00C43ABC" w:rsidP="00C43ABC">
      <w:pPr>
        <w:pStyle w:val="ListParagraph"/>
        <w:widowControl w:val="0"/>
        <w:numPr>
          <w:ilvl w:val="0"/>
          <w:numId w:val="1"/>
        </w:numPr>
        <w:spacing w:before="240"/>
      </w:pPr>
      <w:r w:rsidRPr="005F32EF">
        <w:t xml:space="preserve">NEA (2023) Nuclear Safety Research Joint Projects Week: Success Stories and Opportunities for Future Developments, </w:t>
      </w:r>
      <w:hyperlink r:id="rId40" w:history="1">
        <w:r w:rsidRPr="005F32EF">
          <w:rPr>
            <w:rStyle w:val="Hyperlink"/>
          </w:rPr>
          <w:t>https://www.oecd-nea.org/jcms/pl_72839/</w:t>
        </w:r>
      </w:hyperlink>
      <w:r w:rsidRPr="005F32EF">
        <w:t xml:space="preserve"> </w:t>
      </w:r>
    </w:p>
    <w:p w14:paraId="23F5C934" w14:textId="77777777" w:rsidR="00C43ABC" w:rsidRPr="005F32EF" w:rsidRDefault="00C43ABC" w:rsidP="005F32EF">
      <w:pPr>
        <w:widowControl w:val="0"/>
      </w:pPr>
    </w:p>
    <w:p w14:paraId="7990A33E" w14:textId="1A0B845C" w:rsidR="00F678B5" w:rsidRPr="005F32EF" w:rsidRDefault="007255B3" w:rsidP="005F32EF">
      <w:pPr>
        <w:pStyle w:val="ListParagraph"/>
        <w:widowControl w:val="0"/>
        <w:numPr>
          <w:ilvl w:val="0"/>
          <w:numId w:val="1"/>
        </w:numPr>
      </w:pPr>
      <w:r w:rsidRPr="005F32EF">
        <w:t xml:space="preserve">NEA, </w:t>
      </w:r>
      <w:r w:rsidR="00F678B5" w:rsidRPr="005F32EF">
        <w:t xml:space="preserve">ETHARINUS, Experimental Thermal Hydraulics for Analysis, Research and Innovations in NUclear Safety Project, </w:t>
      </w:r>
      <w:hyperlink r:id="rId41" w:history="1">
        <w:r w:rsidR="00F678B5" w:rsidRPr="005F32EF">
          <w:rPr>
            <w:rStyle w:val="Hyperlink"/>
          </w:rPr>
          <w:t>https://www.oecd-nea.org/jcms/pl_59465/</w:t>
        </w:r>
      </w:hyperlink>
      <w:r w:rsidR="00F678B5" w:rsidRPr="005F32EF">
        <w:t xml:space="preserve"> </w:t>
      </w:r>
    </w:p>
    <w:p w14:paraId="36EF0189" w14:textId="77777777" w:rsidR="00F678B5" w:rsidRPr="005F32EF" w:rsidRDefault="00F678B5" w:rsidP="005F32EF">
      <w:pPr>
        <w:pStyle w:val="ListParagraph"/>
        <w:widowControl w:val="0"/>
        <w:ind w:left="360"/>
      </w:pPr>
    </w:p>
    <w:p w14:paraId="1DE04165" w14:textId="56F89135" w:rsidR="00F678B5" w:rsidRPr="005F32EF" w:rsidRDefault="007255B3" w:rsidP="005F32EF">
      <w:pPr>
        <w:pStyle w:val="ListParagraph"/>
        <w:widowControl w:val="0"/>
        <w:numPr>
          <w:ilvl w:val="0"/>
          <w:numId w:val="1"/>
        </w:numPr>
      </w:pPr>
      <w:r w:rsidRPr="005F32EF">
        <w:t xml:space="preserve">NEA, </w:t>
      </w:r>
      <w:r w:rsidR="00F678B5" w:rsidRPr="005F32EF">
        <w:t xml:space="preserve">ATLAS-3, Advanced Thermal-hydraulic Test Loop for Accident Simulation Phase 3 Project, </w:t>
      </w:r>
      <w:hyperlink r:id="rId42" w:history="1">
        <w:r w:rsidR="00F678B5" w:rsidRPr="005F32EF">
          <w:rPr>
            <w:rStyle w:val="Hyperlink"/>
          </w:rPr>
          <w:t>https://www.oecd-nea.org/jcms/pl_24812/</w:t>
        </w:r>
      </w:hyperlink>
      <w:r w:rsidR="00F678B5" w:rsidRPr="005F32EF">
        <w:t xml:space="preserve"> </w:t>
      </w:r>
    </w:p>
    <w:p w14:paraId="3B6BE23F" w14:textId="77777777" w:rsidR="00F678B5" w:rsidRPr="005F32EF" w:rsidRDefault="00F678B5" w:rsidP="005F32EF">
      <w:pPr>
        <w:pStyle w:val="ListParagraph"/>
        <w:widowControl w:val="0"/>
        <w:ind w:left="360"/>
      </w:pPr>
    </w:p>
    <w:p w14:paraId="01C1BB5E" w14:textId="6449D80B" w:rsidR="00F678B5" w:rsidRPr="005F32EF" w:rsidRDefault="00F678B5" w:rsidP="005F32EF">
      <w:pPr>
        <w:pStyle w:val="ListParagraph"/>
        <w:widowControl w:val="0"/>
        <w:numPr>
          <w:ilvl w:val="0"/>
          <w:numId w:val="1"/>
        </w:numPr>
      </w:pPr>
      <w:r w:rsidRPr="005F32EF">
        <w:t xml:space="preserve">NEA (2013), The Fukushima Daiichi Nuclear Power Plant Accident: OECD/NEA Nuclear Safety Response and Lessons Learnt, NEA No. 7161, </w:t>
      </w:r>
      <w:hyperlink r:id="rId43" w:history="1">
        <w:r w:rsidRPr="005F32EF">
          <w:rPr>
            <w:rStyle w:val="Hyperlink"/>
          </w:rPr>
          <w:t>https://www.oecd-nea.org/jcms/pl_14866/</w:t>
        </w:r>
      </w:hyperlink>
      <w:r w:rsidRPr="005F32EF">
        <w:t xml:space="preserve"> </w:t>
      </w:r>
    </w:p>
    <w:p w14:paraId="7FF20DC9" w14:textId="77777777" w:rsidR="00F678B5" w:rsidRPr="005F32EF" w:rsidRDefault="00F678B5" w:rsidP="005F32EF">
      <w:pPr>
        <w:pStyle w:val="ListParagraph"/>
        <w:widowControl w:val="0"/>
        <w:ind w:left="360"/>
      </w:pPr>
    </w:p>
    <w:p w14:paraId="3E628309" w14:textId="3A378683" w:rsidR="00F678B5" w:rsidRPr="005F32EF" w:rsidRDefault="007255B3" w:rsidP="005F32EF">
      <w:pPr>
        <w:pStyle w:val="ListParagraph"/>
        <w:widowControl w:val="0"/>
        <w:numPr>
          <w:ilvl w:val="0"/>
          <w:numId w:val="1"/>
        </w:numPr>
      </w:pPr>
      <w:r w:rsidRPr="005F32EF">
        <w:t xml:space="preserve">NEA, </w:t>
      </w:r>
      <w:r w:rsidR="00E6353F" w:rsidRPr="005F32EF">
        <w:t xml:space="preserve">Rod Bundle Heat Transfer (RBHT) Project, </w:t>
      </w:r>
      <w:hyperlink r:id="rId44" w:history="1">
        <w:r w:rsidR="00E6353F" w:rsidRPr="005F32EF">
          <w:rPr>
            <w:rStyle w:val="Hyperlink"/>
          </w:rPr>
          <w:t>https://www.oecd-nea.org/jcms/pl_25253/</w:t>
        </w:r>
      </w:hyperlink>
      <w:r w:rsidR="00E6353F" w:rsidRPr="005F32EF">
        <w:t xml:space="preserve"> </w:t>
      </w:r>
    </w:p>
    <w:p w14:paraId="33AC51E6" w14:textId="77777777" w:rsidR="00A97BAD" w:rsidRPr="005F32EF" w:rsidRDefault="00A97BAD" w:rsidP="005F32EF">
      <w:pPr>
        <w:pStyle w:val="ListParagraph"/>
        <w:widowControl w:val="0"/>
        <w:ind w:left="360"/>
      </w:pPr>
    </w:p>
    <w:p w14:paraId="2F6066F6" w14:textId="27D19CC7" w:rsidR="00FA44AC" w:rsidRPr="005F32EF" w:rsidRDefault="007255B3" w:rsidP="005F32EF">
      <w:pPr>
        <w:pStyle w:val="ListParagraph"/>
        <w:widowControl w:val="0"/>
        <w:numPr>
          <w:ilvl w:val="0"/>
          <w:numId w:val="1"/>
        </w:numPr>
      </w:pPr>
      <w:r w:rsidRPr="005F32EF">
        <w:t xml:space="preserve">NEA, </w:t>
      </w:r>
      <w:r w:rsidR="00517957" w:rsidRPr="005F32EF">
        <w:t>Advancing the Understanding of Spent-fuel-pools during Loss-of-Cooling Accidents (</w:t>
      </w:r>
      <w:r w:rsidR="00FA44AC" w:rsidRPr="005F32EF">
        <w:t>POLCA</w:t>
      </w:r>
      <w:r w:rsidR="00517957" w:rsidRPr="005F32EF">
        <w:t>)</w:t>
      </w:r>
      <w:r w:rsidR="00FA44AC" w:rsidRPr="005F32EF">
        <w:t xml:space="preserve"> Project, </w:t>
      </w:r>
      <w:hyperlink r:id="rId45" w:history="1">
        <w:r w:rsidR="005A7032" w:rsidRPr="005F32EF">
          <w:rPr>
            <w:rStyle w:val="Hyperlink"/>
          </w:rPr>
          <w:t>https://www.oecd-nea.org/jcms/pl_80836/</w:t>
        </w:r>
      </w:hyperlink>
    </w:p>
    <w:p w14:paraId="56294A73" w14:textId="77777777" w:rsidR="005A7032" w:rsidRPr="005F32EF" w:rsidRDefault="005A7032" w:rsidP="005F32EF">
      <w:pPr>
        <w:pStyle w:val="ListParagraph"/>
        <w:widowControl w:val="0"/>
        <w:ind w:left="360"/>
      </w:pPr>
    </w:p>
    <w:p w14:paraId="0E5E7E19" w14:textId="333C29FA" w:rsidR="005A7032" w:rsidRPr="005F32EF" w:rsidRDefault="005A7032" w:rsidP="005A7032">
      <w:pPr>
        <w:pStyle w:val="Default"/>
        <w:numPr>
          <w:ilvl w:val="0"/>
          <w:numId w:val="1"/>
        </w:numPr>
        <w:spacing w:after="60" w:line="240" w:lineRule="auto"/>
        <w:rPr>
          <w:rFonts w:ascii="Times New Roman" w:hAnsi="Times New Roman"/>
          <w:spacing w:val="-2"/>
          <w:sz w:val="20"/>
          <w:szCs w:val="20"/>
        </w:rPr>
      </w:pPr>
      <w:r w:rsidRPr="005F32EF">
        <w:rPr>
          <w:rFonts w:ascii="Times New Roman" w:hAnsi="Times New Roman"/>
          <w:spacing w:val="-2"/>
          <w:sz w:val="20"/>
          <w:szCs w:val="20"/>
        </w:rPr>
        <w:t xml:space="preserve">NEA (2015), Status Report on Spent Fuel Pools under Loss-of-Coolant Accident Conditions Final Report, NEA/CSNI/R(2015)2, OECD Publishing, Paris,  </w:t>
      </w:r>
      <w:hyperlink r:id="rId46" w:history="1">
        <w:r w:rsidRPr="005F32EF">
          <w:rPr>
            <w:rStyle w:val="Hyperlink"/>
            <w:rFonts w:ascii="Times New Roman" w:hAnsi="Times New Roman"/>
            <w:sz w:val="20"/>
            <w:szCs w:val="20"/>
          </w:rPr>
          <w:t>https://www.oecd-nea.org/jcms/pl_19596</w:t>
        </w:r>
      </w:hyperlink>
      <w:r w:rsidRPr="005F32EF">
        <w:rPr>
          <w:rFonts w:ascii="Times New Roman" w:hAnsi="Times New Roman"/>
          <w:spacing w:val="-2"/>
          <w:sz w:val="20"/>
          <w:szCs w:val="20"/>
        </w:rPr>
        <w:t xml:space="preserve"> </w:t>
      </w:r>
    </w:p>
    <w:p w14:paraId="262338F5" w14:textId="77777777" w:rsidR="005A7032" w:rsidRPr="005F32EF" w:rsidRDefault="005A7032" w:rsidP="005F32EF">
      <w:pPr>
        <w:pStyle w:val="Default"/>
        <w:spacing w:after="60" w:line="240" w:lineRule="auto"/>
        <w:ind w:left="360"/>
        <w:rPr>
          <w:rFonts w:ascii="Times New Roman" w:hAnsi="Times New Roman"/>
          <w:spacing w:val="-2"/>
          <w:sz w:val="20"/>
          <w:szCs w:val="20"/>
        </w:rPr>
      </w:pPr>
    </w:p>
    <w:p w14:paraId="5AB828B2" w14:textId="0D0926C2" w:rsidR="005A7032" w:rsidRPr="005F32EF" w:rsidRDefault="005A7032" w:rsidP="005A7032">
      <w:pPr>
        <w:pStyle w:val="Default"/>
        <w:numPr>
          <w:ilvl w:val="0"/>
          <w:numId w:val="1"/>
        </w:numPr>
        <w:spacing w:after="60" w:line="240" w:lineRule="auto"/>
        <w:rPr>
          <w:rFonts w:ascii="Times New Roman" w:hAnsi="Times New Roman"/>
          <w:spacing w:val="-2"/>
          <w:sz w:val="20"/>
          <w:szCs w:val="20"/>
        </w:rPr>
      </w:pPr>
      <w:r w:rsidRPr="005F32EF">
        <w:rPr>
          <w:rFonts w:ascii="Times New Roman" w:hAnsi="Times New Roman"/>
          <w:spacing w:val="-2"/>
          <w:sz w:val="20"/>
          <w:szCs w:val="20"/>
        </w:rPr>
        <w:t xml:space="preserve"> NEA (2018), Phenomena Identification and Ranking Table (PIRT) on Spent Fuel Pools under Loss-of-Cooling and Loss-of-Coolant Accident Conditions WGFS Report, NEA No. 7443, OECD Publishing, Paris,  </w:t>
      </w:r>
      <w:hyperlink r:id="rId47" w:history="1">
        <w:r w:rsidRPr="005F32EF">
          <w:rPr>
            <w:rStyle w:val="Hyperlink"/>
            <w:rFonts w:ascii="Times New Roman" w:hAnsi="Times New Roman"/>
            <w:sz w:val="20"/>
            <w:szCs w:val="20"/>
          </w:rPr>
          <w:t>https://www.oecd-nea.org/upload/docs/application/pdf/2019-12/7443-pheno_id_rank_table.pdf</w:t>
        </w:r>
      </w:hyperlink>
    </w:p>
    <w:p w14:paraId="69112D52" w14:textId="510909B3" w:rsidR="00FA44AC" w:rsidRPr="005F32EF" w:rsidRDefault="00FA44AC" w:rsidP="00993616">
      <w:pPr>
        <w:pStyle w:val="BodyTextIndent"/>
        <w:rPr>
          <w:lang w:val="en-GB"/>
        </w:rPr>
      </w:pPr>
    </w:p>
    <w:sectPr w:rsidR="00FA44AC" w:rsidRPr="005F32EF" w:rsidSect="00D964A7">
      <w:footerReference w:type="default" r:id="rId48"/>
      <w:type w:val="continuous"/>
      <w:pgSz w:w="12240" w:h="15840"/>
      <w:pgMar w:top="1440" w:right="1080" w:bottom="1440" w:left="1080" w:header="432" w:footer="720" w:gutter="0"/>
      <w:cols w:num="2" w:space="540" w:equalWidth="0">
        <w:col w:w="4770" w:space="540"/>
        <w:col w:w="477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76C59" w16cex:dateUtc="2023-08-04T03:23:00Z"/>
  <w16cex:commentExtensible w16cex:durableId="28778C4A" w16cex:dateUtc="2023-08-04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06B053" w16cid:durableId="28776C59"/>
  <w16cid:commentId w16cid:paraId="3516A46C" w16cid:durableId="28778C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D7F27" w14:textId="77777777" w:rsidR="00427A21" w:rsidRDefault="00427A21">
      <w:r>
        <w:separator/>
      </w:r>
    </w:p>
  </w:endnote>
  <w:endnote w:type="continuationSeparator" w:id="0">
    <w:p w14:paraId="1B1C8493" w14:textId="77777777" w:rsidR="00427A21" w:rsidRDefault="0042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PMincho">
    <w:altName w:val="MS Gothic"/>
    <w:charset w:val="80"/>
    <w:family w:val="roman"/>
    <w:pitch w:val="variable"/>
    <w:sig w:usb0="00000000"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106444"/>
      <w:docPartObj>
        <w:docPartGallery w:val="Page Numbers (Bottom of Page)"/>
        <w:docPartUnique/>
      </w:docPartObj>
    </w:sdtPr>
    <w:sdtEndPr>
      <w:rPr>
        <w:noProof/>
      </w:rPr>
    </w:sdtEndPr>
    <w:sdtContent>
      <w:p w14:paraId="4BAE5E3E" w14:textId="234812C2" w:rsidR="005A7032" w:rsidRDefault="005A7032">
        <w:pPr>
          <w:pStyle w:val="Footer"/>
          <w:jc w:val="right"/>
        </w:pPr>
        <w:r>
          <w:fldChar w:fldCharType="begin"/>
        </w:r>
        <w:r>
          <w:instrText xml:space="preserve"> PAGE   \* MERGEFORMAT </w:instrText>
        </w:r>
        <w:r>
          <w:fldChar w:fldCharType="separate"/>
        </w:r>
        <w:r w:rsidR="00C21323">
          <w:rPr>
            <w:noProof/>
          </w:rPr>
          <w:t>1</w:t>
        </w:r>
        <w:r>
          <w:rPr>
            <w:noProof/>
          </w:rPr>
          <w:fldChar w:fldCharType="end"/>
        </w:r>
      </w:p>
    </w:sdtContent>
  </w:sdt>
  <w:p w14:paraId="74163B96" w14:textId="77777777" w:rsidR="005A7032" w:rsidRDefault="005A703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2AA7" w14:textId="77777777" w:rsidR="005A7032" w:rsidRDefault="005A7032">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C6AB3" w14:textId="77777777" w:rsidR="00427A21" w:rsidRDefault="00427A21">
      <w:r>
        <w:separator/>
      </w:r>
    </w:p>
  </w:footnote>
  <w:footnote w:type="continuationSeparator" w:id="0">
    <w:p w14:paraId="242283AC" w14:textId="77777777" w:rsidR="00427A21" w:rsidRDefault="0042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28A31" w14:textId="61B622CC" w:rsidR="005A7032" w:rsidRDefault="005A7032" w:rsidP="00310711">
    <w:pPr>
      <w:ind w:right="112"/>
      <w:rPr>
        <w:rFonts w:ascii="Calibri" w:hAnsi="Calibri" w:cs="Calibri"/>
        <w:spacing w:val="-4"/>
        <w:sz w:val="18"/>
        <w:szCs w:val="22"/>
      </w:rPr>
    </w:pPr>
    <w:r>
      <w:rPr>
        <w:rFonts w:ascii="Calibri" w:hAnsi="Calibri" w:cs="Calibri"/>
        <w:noProof/>
        <w:spacing w:val="-4"/>
        <w:sz w:val="18"/>
        <w:szCs w:val="22"/>
      </w:rPr>
      <w:drawing>
        <wp:anchor distT="0" distB="0" distL="114300" distR="114300" simplePos="0" relativeHeight="251658240" behindDoc="0" locked="0" layoutInCell="1" allowOverlap="1" wp14:anchorId="2361E2B9" wp14:editId="749BABF3">
          <wp:simplePos x="0" y="0"/>
          <wp:positionH relativeFrom="column">
            <wp:posOffset>0</wp:posOffset>
          </wp:positionH>
          <wp:positionV relativeFrom="paragraph">
            <wp:posOffset>0</wp:posOffset>
          </wp:positionV>
          <wp:extent cx="2956560" cy="538037"/>
          <wp:effectExtent l="0" t="0" r="0" b="0"/>
          <wp:wrapSquare wrapText="bothSides"/>
          <wp:docPr id="955716549" name="図 95571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56560" cy="538037"/>
                  </a:xfrm>
                  <a:prstGeom prst="rect">
                    <a:avLst/>
                  </a:prstGeom>
                </pic:spPr>
              </pic:pic>
            </a:graphicData>
          </a:graphic>
        </wp:anchor>
      </w:drawing>
    </w:r>
    <w:r>
      <w:rPr>
        <w:rFonts w:ascii="Calibri" w:hAnsi="Calibri" w:cs="Calibri"/>
        <w:spacing w:val="-4"/>
        <w:sz w:val="18"/>
        <w:szCs w:val="22"/>
      </w:rPr>
      <w:t xml:space="preserve">                           </w:t>
    </w:r>
  </w:p>
  <w:p w14:paraId="0963291C" w14:textId="0E206B83" w:rsidR="005A7032" w:rsidRPr="000B12D5" w:rsidRDefault="005A7032" w:rsidP="00310711">
    <w:pPr>
      <w:ind w:left="4320" w:right="112"/>
      <w:jc w:val="right"/>
      <w:rPr>
        <w:rFonts w:asciiTheme="majorBidi" w:hAnsiTheme="majorBidi" w:cstheme="majorBidi"/>
        <w:spacing w:val="-3"/>
        <w:sz w:val="18"/>
        <w:szCs w:val="22"/>
      </w:rPr>
    </w:pPr>
    <w:r>
      <w:rPr>
        <w:rFonts w:ascii="Calibri" w:hAnsi="Calibri" w:cs="Calibri"/>
        <w:spacing w:val="-4"/>
        <w:sz w:val="18"/>
        <w:szCs w:val="22"/>
      </w:rPr>
      <w:t xml:space="preserve">            </w:t>
    </w:r>
    <w:r w:rsidRPr="000B12D5">
      <w:rPr>
        <w:rFonts w:asciiTheme="majorBidi" w:hAnsiTheme="majorBidi" w:cstheme="majorBidi"/>
        <w:spacing w:val="-4"/>
        <w:sz w:val="18"/>
        <w:szCs w:val="22"/>
      </w:rPr>
      <w:t xml:space="preserve">Proceedings of </w:t>
    </w:r>
    <w:r w:rsidRPr="000B12D5">
      <w:rPr>
        <w:rFonts w:asciiTheme="majorBidi" w:hAnsiTheme="majorBidi" w:cstheme="majorBidi"/>
        <w:spacing w:val="-3"/>
        <w:sz w:val="18"/>
        <w:szCs w:val="22"/>
      </w:rPr>
      <w:t>SCOPE</w:t>
    </w:r>
  </w:p>
  <w:p w14:paraId="176AE24C" w14:textId="395135B4" w:rsidR="005A7032" w:rsidRPr="000B12D5" w:rsidRDefault="005A7032" w:rsidP="00310711">
    <w:pPr>
      <w:ind w:right="112"/>
      <w:jc w:val="right"/>
      <w:rPr>
        <w:rFonts w:asciiTheme="majorBidi" w:hAnsiTheme="majorBidi" w:cstheme="majorBidi"/>
        <w:sz w:val="18"/>
        <w:szCs w:val="22"/>
      </w:rPr>
    </w:pPr>
    <w:r w:rsidRPr="000B12D5">
      <w:rPr>
        <w:rFonts w:asciiTheme="majorBidi" w:hAnsiTheme="majorBidi" w:cstheme="majorBidi"/>
        <w:spacing w:val="-3"/>
        <w:sz w:val="18"/>
        <w:szCs w:val="22"/>
      </w:rPr>
      <w:t xml:space="preserve">                                                                    13-15</w:t>
    </w:r>
    <w:r w:rsidRPr="000B12D5">
      <w:rPr>
        <w:rFonts w:asciiTheme="majorBidi" w:hAnsiTheme="majorBidi" w:cstheme="majorBidi"/>
        <w:spacing w:val="-9"/>
        <w:sz w:val="18"/>
        <w:szCs w:val="22"/>
      </w:rPr>
      <w:t xml:space="preserve"> Nov.</w:t>
    </w:r>
    <w:r w:rsidRPr="000B12D5">
      <w:rPr>
        <w:rFonts w:asciiTheme="majorBidi" w:hAnsiTheme="majorBidi" w:cstheme="majorBidi"/>
        <w:spacing w:val="-6"/>
        <w:sz w:val="18"/>
        <w:szCs w:val="22"/>
      </w:rPr>
      <w:t xml:space="preserve"> </w:t>
    </w:r>
    <w:r w:rsidRPr="000B12D5">
      <w:rPr>
        <w:rFonts w:asciiTheme="majorBidi" w:hAnsiTheme="majorBidi" w:cstheme="majorBidi"/>
        <w:spacing w:val="-3"/>
        <w:sz w:val="18"/>
        <w:szCs w:val="22"/>
      </w:rPr>
      <w:t>2023</w:t>
    </w:r>
    <w:r w:rsidRPr="000B12D5">
      <w:rPr>
        <w:rFonts w:asciiTheme="majorBidi" w:hAnsiTheme="majorBidi" w:cstheme="majorBidi"/>
        <w:spacing w:val="-6"/>
        <w:sz w:val="18"/>
        <w:szCs w:val="22"/>
      </w:rPr>
      <w:t xml:space="preserve"> </w:t>
    </w:r>
    <w:r w:rsidRPr="000B12D5">
      <w:rPr>
        <w:rFonts w:asciiTheme="majorBidi" w:hAnsiTheme="majorBidi" w:cstheme="majorBidi"/>
        <w:spacing w:val="-3"/>
        <w:sz w:val="18"/>
        <w:szCs w:val="22"/>
      </w:rPr>
      <w:t>–</w:t>
    </w:r>
    <w:r w:rsidRPr="000B12D5">
      <w:rPr>
        <w:rFonts w:asciiTheme="majorBidi" w:hAnsiTheme="majorBidi" w:cstheme="majorBidi"/>
        <w:spacing w:val="-13"/>
        <w:sz w:val="18"/>
        <w:szCs w:val="22"/>
      </w:rPr>
      <w:t xml:space="preserve"> </w:t>
    </w:r>
    <w:r w:rsidRPr="000B12D5">
      <w:rPr>
        <w:rFonts w:asciiTheme="majorBidi" w:hAnsiTheme="majorBidi" w:cstheme="majorBidi"/>
        <w:sz w:val="18"/>
        <w:szCs w:val="22"/>
      </w:rPr>
      <w:t>KFUPM</w:t>
    </w:r>
  </w:p>
  <w:p w14:paraId="7B8603BE" w14:textId="370801C4" w:rsidR="005A7032" w:rsidRPr="000B12D5" w:rsidRDefault="005A7032" w:rsidP="00310711">
    <w:pPr>
      <w:ind w:right="112"/>
      <w:jc w:val="right"/>
      <w:rPr>
        <w:rFonts w:asciiTheme="majorBidi" w:hAnsiTheme="majorBidi" w:cstheme="majorBidi"/>
        <w:sz w:val="18"/>
        <w:szCs w:val="22"/>
      </w:rPr>
    </w:pPr>
    <w:r w:rsidRPr="000B12D5">
      <w:rPr>
        <w:rFonts w:asciiTheme="majorBidi" w:hAnsiTheme="majorBidi" w:cstheme="majorBidi"/>
        <w:sz w:val="18"/>
        <w:szCs w:val="22"/>
      </w:rPr>
      <w:t xml:space="preserve">Paper </w:t>
    </w:r>
    <w:r w:rsidRPr="00F842ED">
      <w:rPr>
        <w:rFonts w:asciiTheme="majorBidi" w:hAnsiTheme="majorBidi" w:cstheme="majorBidi"/>
        <w:sz w:val="18"/>
        <w:szCs w:val="22"/>
      </w:rPr>
      <w:t>23046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057"/>
    <w:multiLevelType w:val="hybridMultilevel"/>
    <w:tmpl w:val="5400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1523D"/>
    <w:multiLevelType w:val="hybridMultilevel"/>
    <w:tmpl w:val="65062DD2"/>
    <w:lvl w:ilvl="0" w:tplc="3376B0D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10891"/>
    <w:multiLevelType w:val="hybridMultilevel"/>
    <w:tmpl w:val="B9D6BF64"/>
    <w:lvl w:ilvl="0" w:tplc="3376B0D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E3A51"/>
    <w:multiLevelType w:val="hybridMultilevel"/>
    <w:tmpl w:val="9EBE55DC"/>
    <w:lvl w:ilvl="0" w:tplc="1632D068">
      <w:numFmt w:val="bullet"/>
      <w:lvlText w:val="•"/>
      <w:lvlJc w:val="left"/>
      <w:pPr>
        <w:ind w:left="996" w:hanging="636"/>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30C4B"/>
    <w:multiLevelType w:val="hybridMultilevel"/>
    <w:tmpl w:val="944803B4"/>
    <w:lvl w:ilvl="0" w:tplc="8B1641A0">
      <w:start w:val="1"/>
      <w:numFmt w:val="decimal"/>
      <w:lvlText w:val="[%1]"/>
      <w:lvlJc w:val="left"/>
      <w:pPr>
        <w:ind w:left="786"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6687A58"/>
    <w:multiLevelType w:val="hybridMultilevel"/>
    <w:tmpl w:val="AA309158"/>
    <w:lvl w:ilvl="0" w:tplc="3376B0D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D70FF2"/>
    <w:multiLevelType w:val="hybridMultilevel"/>
    <w:tmpl w:val="DDA6A464"/>
    <w:lvl w:ilvl="0" w:tplc="3376B0D0">
      <w:start w:val="1"/>
      <w:numFmt w:val="bullet"/>
      <w:lvlText w:val="‒"/>
      <w:lvlJc w:val="left"/>
      <w:pPr>
        <w:ind w:left="582" w:hanging="440"/>
      </w:pPr>
      <w:rPr>
        <w:rFonts w:ascii="Calibri" w:hAnsi="Calibri"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7" w15:restartNumberingAfterBreak="0">
    <w:nsid w:val="6B6B3F0E"/>
    <w:multiLevelType w:val="hybridMultilevel"/>
    <w:tmpl w:val="1EB432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3"/>
  </w:num>
  <w:num w:numId="4">
    <w:abstractNumId w:val="2"/>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3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NewFlag" w:val="Yes"/>
    <w:docVar w:name="CreateASMEToolbarFlag" w:val="-1"/>
    <w:docVar w:name="MarkTerritory" w:val="D:\ASME\proposal\AuthKit\version2\irvine7.doc by Howard Kaikow with template C:\msoffice\Templates\ASME.dot on 02/29/96 at 11:01"/>
    <w:docVar w:name="MarkTerritoryLocal" w:val="Document2 by Howard Kaikow with template C:\msoffice\Templates\ASME.dot on 02/29/96 at 10:39"/>
    <w:docVar w:name="OECDDocumentId" w:val="F8A167B9E53A883C2D6A032E09E8C21F799ABDBC7C84B936F64A25359E306FE3"/>
    <w:docVar w:name="SetStylesFlag" w:val="-1"/>
  </w:docVars>
  <w:rsids>
    <w:rsidRoot w:val="00913B5D"/>
    <w:rsid w:val="00026943"/>
    <w:rsid w:val="00032BCA"/>
    <w:rsid w:val="00032FD9"/>
    <w:rsid w:val="00052CFC"/>
    <w:rsid w:val="00064E2D"/>
    <w:rsid w:val="00065AB0"/>
    <w:rsid w:val="00073347"/>
    <w:rsid w:val="000846E7"/>
    <w:rsid w:val="000B12D5"/>
    <w:rsid w:val="000B42BF"/>
    <w:rsid w:val="000B7547"/>
    <w:rsid w:val="000C62D5"/>
    <w:rsid w:val="000D3944"/>
    <w:rsid w:val="000E127F"/>
    <w:rsid w:val="000F1AFE"/>
    <w:rsid w:val="00100D5D"/>
    <w:rsid w:val="0010369A"/>
    <w:rsid w:val="00103A1C"/>
    <w:rsid w:val="00104B68"/>
    <w:rsid w:val="001122FD"/>
    <w:rsid w:val="00136502"/>
    <w:rsid w:val="00150D94"/>
    <w:rsid w:val="001529F4"/>
    <w:rsid w:val="0015418B"/>
    <w:rsid w:val="00161692"/>
    <w:rsid w:val="00162265"/>
    <w:rsid w:val="00162337"/>
    <w:rsid w:val="00177955"/>
    <w:rsid w:val="0019260D"/>
    <w:rsid w:val="00197C6F"/>
    <w:rsid w:val="001A068C"/>
    <w:rsid w:val="001A7609"/>
    <w:rsid w:val="001A7F8D"/>
    <w:rsid w:val="001B639B"/>
    <w:rsid w:val="001C224B"/>
    <w:rsid w:val="001D3F6B"/>
    <w:rsid w:val="001E2A31"/>
    <w:rsid w:val="001F04AA"/>
    <w:rsid w:val="00226DAA"/>
    <w:rsid w:val="00240349"/>
    <w:rsid w:val="00251BF7"/>
    <w:rsid w:val="002569B6"/>
    <w:rsid w:val="00257A25"/>
    <w:rsid w:val="0026712E"/>
    <w:rsid w:val="002726E2"/>
    <w:rsid w:val="0028417F"/>
    <w:rsid w:val="002A053A"/>
    <w:rsid w:val="002A4D97"/>
    <w:rsid w:val="002A6330"/>
    <w:rsid w:val="002D46E2"/>
    <w:rsid w:val="002D6D45"/>
    <w:rsid w:val="002E7EFD"/>
    <w:rsid w:val="002F06E3"/>
    <w:rsid w:val="002F7F51"/>
    <w:rsid w:val="00300569"/>
    <w:rsid w:val="00310711"/>
    <w:rsid w:val="00312596"/>
    <w:rsid w:val="00313CCF"/>
    <w:rsid w:val="00316F59"/>
    <w:rsid w:val="00321EBE"/>
    <w:rsid w:val="003234C0"/>
    <w:rsid w:val="00323E1F"/>
    <w:rsid w:val="00342EA2"/>
    <w:rsid w:val="00355DB3"/>
    <w:rsid w:val="003609AA"/>
    <w:rsid w:val="0036485C"/>
    <w:rsid w:val="003857DC"/>
    <w:rsid w:val="00385F97"/>
    <w:rsid w:val="00394A5D"/>
    <w:rsid w:val="003E1A27"/>
    <w:rsid w:val="003E7409"/>
    <w:rsid w:val="0041127F"/>
    <w:rsid w:val="00427A21"/>
    <w:rsid w:val="0043631B"/>
    <w:rsid w:val="00442E18"/>
    <w:rsid w:val="004914A9"/>
    <w:rsid w:val="004914F2"/>
    <w:rsid w:val="004933B8"/>
    <w:rsid w:val="00495218"/>
    <w:rsid w:val="004A28A3"/>
    <w:rsid w:val="004D4EE6"/>
    <w:rsid w:val="004D60AD"/>
    <w:rsid w:val="00514AC8"/>
    <w:rsid w:val="00517957"/>
    <w:rsid w:val="00533482"/>
    <w:rsid w:val="005429D0"/>
    <w:rsid w:val="00547F17"/>
    <w:rsid w:val="00593F39"/>
    <w:rsid w:val="005967ED"/>
    <w:rsid w:val="00597468"/>
    <w:rsid w:val="005A7032"/>
    <w:rsid w:val="005B01C5"/>
    <w:rsid w:val="005D2191"/>
    <w:rsid w:val="005D37E8"/>
    <w:rsid w:val="005E1073"/>
    <w:rsid w:val="005F32EF"/>
    <w:rsid w:val="006105E1"/>
    <w:rsid w:val="00626278"/>
    <w:rsid w:val="006326C5"/>
    <w:rsid w:val="00635840"/>
    <w:rsid w:val="00645358"/>
    <w:rsid w:val="00653868"/>
    <w:rsid w:val="00664E49"/>
    <w:rsid w:val="00670B6F"/>
    <w:rsid w:val="006812F2"/>
    <w:rsid w:val="00681841"/>
    <w:rsid w:val="00682E78"/>
    <w:rsid w:val="00684383"/>
    <w:rsid w:val="006948D8"/>
    <w:rsid w:val="006951C5"/>
    <w:rsid w:val="00697603"/>
    <w:rsid w:val="00697898"/>
    <w:rsid w:val="006B08A5"/>
    <w:rsid w:val="006B292F"/>
    <w:rsid w:val="006C19BF"/>
    <w:rsid w:val="006D2CFC"/>
    <w:rsid w:val="006E658C"/>
    <w:rsid w:val="007030AC"/>
    <w:rsid w:val="0070715B"/>
    <w:rsid w:val="007077A5"/>
    <w:rsid w:val="007108D1"/>
    <w:rsid w:val="007121C5"/>
    <w:rsid w:val="007255B3"/>
    <w:rsid w:val="007260CB"/>
    <w:rsid w:val="00726A54"/>
    <w:rsid w:val="00737653"/>
    <w:rsid w:val="007720A1"/>
    <w:rsid w:val="00781B6A"/>
    <w:rsid w:val="00796034"/>
    <w:rsid w:val="007A6EDE"/>
    <w:rsid w:val="007B0A22"/>
    <w:rsid w:val="007C05B5"/>
    <w:rsid w:val="007C1741"/>
    <w:rsid w:val="007C3240"/>
    <w:rsid w:val="007D52EC"/>
    <w:rsid w:val="007E2B5E"/>
    <w:rsid w:val="007E48E7"/>
    <w:rsid w:val="0082523B"/>
    <w:rsid w:val="00836EF3"/>
    <w:rsid w:val="008374E0"/>
    <w:rsid w:val="00862A83"/>
    <w:rsid w:val="008651F2"/>
    <w:rsid w:val="008670B2"/>
    <w:rsid w:val="00867316"/>
    <w:rsid w:val="008732A0"/>
    <w:rsid w:val="00890B80"/>
    <w:rsid w:val="00891C89"/>
    <w:rsid w:val="008B1C18"/>
    <w:rsid w:val="0090692D"/>
    <w:rsid w:val="00913AC4"/>
    <w:rsid w:val="00913B5D"/>
    <w:rsid w:val="009159E5"/>
    <w:rsid w:val="00925AFE"/>
    <w:rsid w:val="00935476"/>
    <w:rsid w:val="009516F4"/>
    <w:rsid w:val="00954FB6"/>
    <w:rsid w:val="00961716"/>
    <w:rsid w:val="00973B21"/>
    <w:rsid w:val="00981A7E"/>
    <w:rsid w:val="00993616"/>
    <w:rsid w:val="009A0838"/>
    <w:rsid w:val="009B071A"/>
    <w:rsid w:val="009C41D4"/>
    <w:rsid w:val="009C45AB"/>
    <w:rsid w:val="009F34E5"/>
    <w:rsid w:val="009F7DFD"/>
    <w:rsid w:val="00A03C8F"/>
    <w:rsid w:val="00A0476B"/>
    <w:rsid w:val="00A17E84"/>
    <w:rsid w:val="00A30434"/>
    <w:rsid w:val="00A34D99"/>
    <w:rsid w:val="00A40B09"/>
    <w:rsid w:val="00A52C7E"/>
    <w:rsid w:val="00A54BC9"/>
    <w:rsid w:val="00A643C1"/>
    <w:rsid w:val="00A72149"/>
    <w:rsid w:val="00A73779"/>
    <w:rsid w:val="00A83D3F"/>
    <w:rsid w:val="00A93712"/>
    <w:rsid w:val="00A97BAD"/>
    <w:rsid w:val="00AB041E"/>
    <w:rsid w:val="00AB0A7E"/>
    <w:rsid w:val="00AC07A6"/>
    <w:rsid w:val="00AE2B8F"/>
    <w:rsid w:val="00AF37DC"/>
    <w:rsid w:val="00AF4F08"/>
    <w:rsid w:val="00AF5FF7"/>
    <w:rsid w:val="00B029D3"/>
    <w:rsid w:val="00B03C09"/>
    <w:rsid w:val="00B05092"/>
    <w:rsid w:val="00B12EA4"/>
    <w:rsid w:val="00B22151"/>
    <w:rsid w:val="00B415CC"/>
    <w:rsid w:val="00B41F50"/>
    <w:rsid w:val="00B66860"/>
    <w:rsid w:val="00B90C92"/>
    <w:rsid w:val="00BA2A5A"/>
    <w:rsid w:val="00BB3255"/>
    <w:rsid w:val="00BB7497"/>
    <w:rsid w:val="00BC083E"/>
    <w:rsid w:val="00BF2D83"/>
    <w:rsid w:val="00C12CF9"/>
    <w:rsid w:val="00C13B01"/>
    <w:rsid w:val="00C16186"/>
    <w:rsid w:val="00C2027A"/>
    <w:rsid w:val="00C21323"/>
    <w:rsid w:val="00C26700"/>
    <w:rsid w:val="00C322DD"/>
    <w:rsid w:val="00C43ABC"/>
    <w:rsid w:val="00C4796F"/>
    <w:rsid w:val="00C6456E"/>
    <w:rsid w:val="00C66A70"/>
    <w:rsid w:val="00C9322D"/>
    <w:rsid w:val="00C93C8F"/>
    <w:rsid w:val="00CA056E"/>
    <w:rsid w:val="00CA0585"/>
    <w:rsid w:val="00CD18F8"/>
    <w:rsid w:val="00CD2665"/>
    <w:rsid w:val="00CD7084"/>
    <w:rsid w:val="00CE3629"/>
    <w:rsid w:val="00CF667F"/>
    <w:rsid w:val="00D00276"/>
    <w:rsid w:val="00D015D4"/>
    <w:rsid w:val="00D03716"/>
    <w:rsid w:val="00D03C16"/>
    <w:rsid w:val="00D40DF4"/>
    <w:rsid w:val="00D41578"/>
    <w:rsid w:val="00D463CC"/>
    <w:rsid w:val="00D532C6"/>
    <w:rsid w:val="00D67441"/>
    <w:rsid w:val="00D77F91"/>
    <w:rsid w:val="00D85CDB"/>
    <w:rsid w:val="00D964A7"/>
    <w:rsid w:val="00DA41EA"/>
    <w:rsid w:val="00DB2F57"/>
    <w:rsid w:val="00DC1BE2"/>
    <w:rsid w:val="00DC74CC"/>
    <w:rsid w:val="00DD4244"/>
    <w:rsid w:val="00DD4652"/>
    <w:rsid w:val="00DE2928"/>
    <w:rsid w:val="00DE32E8"/>
    <w:rsid w:val="00DE5D45"/>
    <w:rsid w:val="00DF734C"/>
    <w:rsid w:val="00E0452C"/>
    <w:rsid w:val="00E065A9"/>
    <w:rsid w:val="00E11F0A"/>
    <w:rsid w:val="00E13341"/>
    <w:rsid w:val="00E339B0"/>
    <w:rsid w:val="00E345BD"/>
    <w:rsid w:val="00E37DA7"/>
    <w:rsid w:val="00E40FED"/>
    <w:rsid w:val="00E45D4C"/>
    <w:rsid w:val="00E572A5"/>
    <w:rsid w:val="00E57A4C"/>
    <w:rsid w:val="00E604D1"/>
    <w:rsid w:val="00E6353F"/>
    <w:rsid w:val="00E67155"/>
    <w:rsid w:val="00E72B98"/>
    <w:rsid w:val="00E87866"/>
    <w:rsid w:val="00E91412"/>
    <w:rsid w:val="00E93F48"/>
    <w:rsid w:val="00EB026E"/>
    <w:rsid w:val="00EB2C14"/>
    <w:rsid w:val="00EB5D22"/>
    <w:rsid w:val="00EC2993"/>
    <w:rsid w:val="00EC2E96"/>
    <w:rsid w:val="00EC2FCF"/>
    <w:rsid w:val="00EC42DB"/>
    <w:rsid w:val="00ED0939"/>
    <w:rsid w:val="00EF083A"/>
    <w:rsid w:val="00F10A45"/>
    <w:rsid w:val="00F10D31"/>
    <w:rsid w:val="00F21101"/>
    <w:rsid w:val="00F212F3"/>
    <w:rsid w:val="00F34F6E"/>
    <w:rsid w:val="00F40096"/>
    <w:rsid w:val="00F44978"/>
    <w:rsid w:val="00F678B5"/>
    <w:rsid w:val="00F75B4D"/>
    <w:rsid w:val="00F842ED"/>
    <w:rsid w:val="00F84C7E"/>
    <w:rsid w:val="00FA44AC"/>
    <w:rsid w:val="00FA593C"/>
    <w:rsid w:val="00FE247B"/>
    <w:rsid w:val="00FF09D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AC1B45"/>
  <w15:docId w15:val="{3DC7D3F6-ED76-418C-9473-9A243FB8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4A7"/>
    <w:pPr>
      <w:suppressAutoHyphens/>
      <w:jc w:val="both"/>
    </w:pPr>
    <w:rPr>
      <w:kern w:val="14"/>
    </w:rPr>
  </w:style>
  <w:style w:type="paragraph" w:styleId="Heading1">
    <w:name w:val="heading 1"/>
    <w:basedOn w:val="Normal"/>
    <w:next w:val="Normal"/>
    <w:qFormat/>
    <w:rsid w:val="00D964A7"/>
    <w:pPr>
      <w:keepNext/>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ClauseTitle">
    <w:name w:val="Abstract Clause Title"/>
    <w:basedOn w:val="Normal"/>
    <w:next w:val="BodyTextIndent"/>
    <w:rsid w:val="00D964A7"/>
    <w:pPr>
      <w:keepNext/>
    </w:pPr>
    <w:rPr>
      <w:rFonts w:ascii="Arial" w:hAnsi="Arial"/>
      <w:b/>
      <w:caps/>
    </w:rPr>
  </w:style>
  <w:style w:type="paragraph" w:styleId="BodyTextIndent">
    <w:name w:val="Body Text Indent"/>
    <w:basedOn w:val="Normal"/>
    <w:semiHidden/>
    <w:rsid w:val="00D964A7"/>
    <w:pPr>
      <w:ind w:firstLine="360"/>
    </w:pPr>
  </w:style>
  <w:style w:type="paragraph" w:customStyle="1" w:styleId="AcknowledgmentsClauseTitle">
    <w:name w:val="Acknowledgments Clause Title"/>
    <w:basedOn w:val="Normal"/>
    <w:next w:val="BodyTextIndent"/>
    <w:rsid w:val="00D964A7"/>
    <w:pPr>
      <w:keepNext/>
      <w:spacing w:before="240"/>
    </w:pPr>
    <w:rPr>
      <w:rFonts w:ascii="Arial" w:hAnsi="Arial"/>
      <w:b/>
      <w:caps/>
    </w:rPr>
  </w:style>
  <w:style w:type="paragraph" w:customStyle="1" w:styleId="Affiliation">
    <w:name w:val="Affiliation"/>
    <w:basedOn w:val="Normal"/>
    <w:rsid w:val="00D964A7"/>
    <w:pPr>
      <w:jc w:val="center"/>
    </w:pPr>
    <w:rPr>
      <w:rFonts w:ascii="Arial" w:hAnsi="Arial"/>
    </w:rPr>
  </w:style>
  <w:style w:type="paragraph" w:customStyle="1" w:styleId="Author">
    <w:name w:val="Author"/>
    <w:basedOn w:val="Normal"/>
    <w:next w:val="Affiliation"/>
    <w:rsid w:val="00D964A7"/>
    <w:pPr>
      <w:keepNext/>
      <w:jc w:val="center"/>
    </w:pPr>
    <w:rPr>
      <w:rFonts w:ascii="Arial" w:hAnsi="Arial"/>
      <w:b/>
    </w:rPr>
  </w:style>
  <w:style w:type="paragraph" w:customStyle="1" w:styleId="DocumentNumber">
    <w:name w:val="Document Number"/>
    <w:basedOn w:val="Normal"/>
    <w:next w:val="BodyTextIndent"/>
    <w:rsid w:val="00D964A7"/>
    <w:pPr>
      <w:spacing w:before="900"/>
      <w:jc w:val="right"/>
    </w:pPr>
    <w:rPr>
      <w:rFonts w:ascii="Arial" w:hAnsi="Arial"/>
      <w:b/>
      <w:sz w:val="36"/>
    </w:rPr>
  </w:style>
  <w:style w:type="paragraph" w:customStyle="1" w:styleId="EquationNumber">
    <w:name w:val="Equation Number"/>
    <w:basedOn w:val="Normal"/>
    <w:next w:val="BodyTextIndent"/>
    <w:rsid w:val="00D964A7"/>
    <w:pPr>
      <w:jc w:val="right"/>
    </w:pPr>
  </w:style>
  <w:style w:type="paragraph" w:customStyle="1" w:styleId="FigureCaption">
    <w:name w:val="Figure Caption"/>
    <w:basedOn w:val="Normal"/>
    <w:next w:val="BodyTextIndent"/>
    <w:rsid w:val="00D964A7"/>
    <w:pPr>
      <w:jc w:val="center"/>
    </w:pPr>
    <w:rPr>
      <w:rFonts w:ascii="Arial" w:hAnsi="Arial"/>
      <w:b/>
    </w:rPr>
  </w:style>
  <w:style w:type="paragraph" w:styleId="Footer">
    <w:name w:val="footer"/>
    <w:basedOn w:val="Normal"/>
    <w:next w:val="Header"/>
    <w:link w:val="FooterChar"/>
    <w:uiPriority w:val="99"/>
    <w:rsid w:val="00D964A7"/>
    <w:pPr>
      <w:tabs>
        <w:tab w:val="center" w:pos="5760"/>
        <w:tab w:val="right" w:pos="10800"/>
      </w:tabs>
    </w:pPr>
  </w:style>
  <w:style w:type="paragraph" w:styleId="Header">
    <w:name w:val="header"/>
    <w:basedOn w:val="Normal"/>
    <w:next w:val="Footer"/>
    <w:semiHidden/>
    <w:rsid w:val="00D964A7"/>
  </w:style>
  <w:style w:type="paragraph" w:styleId="FootnoteText">
    <w:name w:val="footnote text"/>
    <w:basedOn w:val="Normal"/>
    <w:semiHidden/>
    <w:rsid w:val="00D964A7"/>
    <w:pPr>
      <w:ind w:firstLine="360"/>
    </w:pPr>
    <w:rPr>
      <w:sz w:val="16"/>
    </w:rPr>
  </w:style>
  <w:style w:type="paragraph" w:customStyle="1" w:styleId="NomenclatureClauseTitle">
    <w:name w:val="Nomenclature Clause Title"/>
    <w:basedOn w:val="Normal"/>
    <w:next w:val="BodyTextIndent"/>
    <w:rsid w:val="00D964A7"/>
    <w:pPr>
      <w:keepNext/>
      <w:spacing w:before="240"/>
    </w:pPr>
    <w:rPr>
      <w:rFonts w:ascii="Arial" w:hAnsi="Arial"/>
      <w:b/>
      <w:caps/>
    </w:rPr>
  </w:style>
  <w:style w:type="paragraph" w:customStyle="1" w:styleId="ReferencesClauseTitle">
    <w:name w:val="References Clause Title"/>
    <w:basedOn w:val="Normal"/>
    <w:next w:val="BodyTextIndent"/>
    <w:rsid w:val="00D964A7"/>
    <w:pPr>
      <w:keepNext/>
      <w:spacing w:before="240"/>
    </w:pPr>
    <w:rPr>
      <w:rFonts w:ascii="Arial" w:hAnsi="Arial"/>
      <w:b/>
      <w:caps/>
    </w:rPr>
  </w:style>
  <w:style w:type="paragraph" w:customStyle="1" w:styleId="TableCaption">
    <w:name w:val="Table Caption"/>
    <w:basedOn w:val="Normal"/>
    <w:next w:val="BodyTextIndent"/>
    <w:rsid w:val="00D964A7"/>
    <w:pPr>
      <w:jc w:val="center"/>
    </w:pPr>
    <w:rPr>
      <w:rFonts w:ascii="Arial" w:hAnsi="Arial"/>
      <w:b/>
    </w:rPr>
  </w:style>
  <w:style w:type="paragraph" w:customStyle="1" w:styleId="TextHeading1">
    <w:name w:val="Text Heading 1"/>
    <w:basedOn w:val="Normal"/>
    <w:next w:val="BodyTextIndent"/>
    <w:rsid w:val="00D964A7"/>
    <w:pPr>
      <w:keepNext/>
      <w:spacing w:before="240"/>
    </w:pPr>
    <w:rPr>
      <w:rFonts w:ascii="Arial" w:hAnsi="Arial"/>
      <w:b/>
      <w:caps/>
    </w:rPr>
  </w:style>
  <w:style w:type="paragraph" w:customStyle="1" w:styleId="TextHeading2">
    <w:name w:val="Text Heading 2"/>
    <w:basedOn w:val="Normal"/>
    <w:next w:val="BodyTextIndent"/>
    <w:rsid w:val="00D964A7"/>
    <w:pPr>
      <w:keepNext/>
      <w:spacing w:before="240"/>
    </w:pPr>
    <w:rPr>
      <w:rFonts w:ascii="Arial" w:hAnsi="Arial"/>
      <w:b/>
      <w:u w:val="single"/>
    </w:rPr>
  </w:style>
  <w:style w:type="paragraph" w:customStyle="1" w:styleId="TextHeading3">
    <w:name w:val="Text Heading 3"/>
    <w:basedOn w:val="Normal"/>
    <w:next w:val="BodyTextIndent"/>
    <w:rsid w:val="00D964A7"/>
    <w:pPr>
      <w:spacing w:before="240"/>
      <w:ind w:left="360"/>
    </w:pPr>
    <w:rPr>
      <w:rFonts w:ascii="Arial" w:hAnsi="Arial"/>
      <w:b/>
      <w:u w:val="single"/>
    </w:rPr>
  </w:style>
  <w:style w:type="paragraph" w:styleId="Title">
    <w:name w:val="Title"/>
    <w:basedOn w:val="Normal"/>
    <w:qFormat/>
    <w:rsid w:val="00D964A7"/>
    <w:pPr>
      <w:spacing w:before="760"/>
      <w:jc w:val="center"/>
    </w:pPr>
    <w:rPr>
      <w:rFonts w:ascii="Arial" w:hAnsi="Arial"/>
      <w:b/>
      <w:caps/>
      <w:sz w:val="24"/>
    </w:rPr>
  </w:style>
  <w:style w:type="paragraph" w:styleId="Caption">
    <w:name w:val="caption"/>
    <w:basedOn w:val="Normal"/>
    <w:next w:val="Normal"/>
    <w:qFormat/>
    <w:rsid w:val="00D964A7"/>
    <w:pPr>
      <w:spacing w:before="120" w:after="120"/>
    </w:pPr>
    <w:rPr>
      <w:b/>
    </w:rPr>
  </w:style>
  <w:style w:type="paragraph" w:styleId="BalloonText">
    <w:name w:val="Balloon Text"/>
    <w:basedOn w:val="Normal"/>
    <w:link w:val="BalloonTextChar"/>
    <w:uiPriority w:val="99"/>
    <w:semiHidden/>
    <w:unhideWhenUsed/>
    <w:rsid w:val="00C322DD"/>
    <w:rPr>
      <w:rFonts w:ascii="Tahoma" w:hAnsi="Tahoma" w:cs="Tahoma"/>
      <w:sz w:val="16"/>
      <w:szCs w:val="16"/>
    </w:rPr>
  </w:style>
  <w:style w:type="character" w:customStyle="1" w:styleId="BalloonTextChar">
    <w:name w:val="Balloon Text Char"/>
    <w:basedOn w:val="DefaultParagraphFont"/>
    <w:link w:val="BalloonText"/>
    <w:uiPriority w:val="99"/>
    <w:semiHidden/>
    <w:rsid w:val="00C322DD"/>
    <w:rPr>
      <w:rFonts w:ascii="Tahoma" w:hAnsi="Tahoma" w:cs="Tahoma"/>
      <w:kern w:val="14"/>
      <w:sz w:val="16"/>
      <w:szCs w:val="16"/>
    </w:rPr>
  </w:style>
  <w:style w:type="character" w:styleId="CommentReference">
    <w:name w:val="annotation reference"/>
    <w:basedOn w:val="DefaultParagraphFont"/>
    <w:uiPriority w:val="99"/>
    <w:semiHidden/>
    <w:unhideWhenUsed/>
    <w:rsid w:val="00D532C6"/>
    <w:rPr>
      <w:sz w:val="16"/>
      <w:szCs w:val="16"/>
    </w:rPr>
  </w:style>
  <w:style w:type="paragraph" w:styleId="CommentText">
    <w:name w:val="annotation text"/>
    <w:basedOn w:val="Normal"/>
    <w:link w:val="CommentTextChar"/>
    <w:uiPriority w:val="99"/>
    <w:unhideWhenUsed/>
    <w:rsid w:val="00D532C6"/>
  </w:style>
  <w:style w:type="character" w:customStyle="1" w:styleId="CommentTextChar">
    <w:name w:val="Comment Text Char"/>
    <w:basedOn w:val="DefaultParagraphFont"/>
    <w:link w:val="CommentText"/>
    <w:uiPriority w:val="99"/>
    <w:rsid w:val="00D532C6"/>
    <w:rPr>
      <w:kern w:val="14"/>
    </w:rPr>
  </w:style>
  <w:style w:type="paragraph" w:styleId="CommentSubject">
    <w:name w:val="annotation subject"/>
    <w:basedOn w:val="CommentText"/>
    <w:next w:val="CommentText"/>
    <w:link w:val="CommentSubjectChar"/>
    <w:uiPriority w:val="99"/>
    <w:semiHidden/>
    <w:unhideWhenUsed/>
    <w:rsid w:val="00D532C6"/>
    <w:rPr>
      <w:b/>
      <w:bCs/>
    </w:rPr>
  </w:style>
  <w:style w:type="character" w:customStyle="1" w:styleId="CommentSubjectChar">
    <w:name w:val="Comment Subject Char"/>
    <w:basedOn w:val="CommentTextChar"/>
    <w:link w:val="CommentSubject"/>
    <w:uiPriority w:val="99"/>
    <w:semiHidden/>
    <w:rsid w:val="00D532C6"/>
    <w:rPr>
      <w:b/>
      <w:bCs/>
      <w:kern w:val="14"/>
    </w:rPr>
  </w:style>
  <w:style w:type="paragraph" w:styleId="Revision">
    <w:name w:val="Revision"/>
    <w:hidden/>
    <w:uiPriority w:val="99"/>
    <w:semiHidden/>
    <w:rsid w:val="00F212F3"/>
    <w:rPr>
      <w:kern w:val="14"/>
    </w:rPr>
  </w:style>
  <w:style w:type="character" w:customStyle="1" w:styleId="FooterChar">
    <w:name w:val="Footer Char"/>
    <w:basedOn w:val="DefaultParagraphFont"/>
    <w:link w:val="Footer"/>
    <w:uiPriority w:val="99"/>
    <w:rsid w:val="00136502"/>
    <w:rPr>
      <w:kern w:val="14"/>
    </w:rPr>
  </w:style>
  <w:style w:type="character" w:styleId="Hyperlink">
    <w:name w:val="Hyperlink"/>
    <w:rsid w:val="00F842ED"/>
    <w:rPr>
      <w:color w:val="0000FF"/>
      <w:u w:val="single"/>
    </w:rPr>
  </w:style>
  <w:style w:type="paragraph" w:styleId="ListParagraph">
    <w:name w:val="List Paragraph"/>
    <w:basedOn w:val="Normal"/>
    <w:uiPriority w:val="34"/>
    <w:qFormat/>
    <w:rsid w:val="00DF734C"/>
    <w:pPr>
      <w:ind w:left="720"/>
      <w:contextualSpacing/>
    </w:pPr>
  </w:style>
  <w:style w:type="character" w:styleId="FollowedHyperlink">
    <w:name w:val="FollowedHyperlink"/>
    <w:basedOn w:val="DefaultParagraphFont"/>
    <w:uiPriority w:val="99"/>
    <w:semiHidden/>
    <w:unhideWhenUsed/>
    <w:rsid w:val="007260CB"/>
    <w:rPr>
      <w:color w:val="800080" w:themeColor="followedHyperlink"/>
      <w:u w:val="single"/>
    </w:rPr>
  </w:style>
  <w:style w:type="paragraph" w:styleId="BodyText">
    <w:name w:val="Body Text"/>
    <w:basedOn w:val="Normal"/>
    <w:link w:val="BodyTextChar"/>
    <w:uiPriority w:val="99"/>
    <w:semiHidden/>
    <w:unhideWhenUsed/>
    <w:rsid w:val="008374E0"/>
    <w:pPr>
      <w:spacing w:after="120"/>
    </w:pPr>
  </w:style>
  <w:style w:type="character" w:customStyle="1" w:styleId="BodyTextChar">
    <w:name w:val="Body Text Char"/>
    <w:basedOn w:val="DefaultParagraphFont"/>
    <w:link w:val="BodyText"/>
    <w:uiPriority w:val="99"/>
    <w:semiHidden/>
    <w:rsid w:val="008374E0"/>
    <w:rPr>
      <w:kern w:val="14"/>
    </w:rPr>
  </w:style>
  <w:style w:type="paragraph" w:customStyle="1" w:styleId="Default">
    <w:name w:val="Default"/>
    <w:rsid w:val="005A7032"/>
    <w:pPr>
      <w:tabs>
        <w:tab w:val="left" w:pos="709"/>
      </w:tabs>
      <w:suppressAutoHyphens/>
      <w:spacing w:after="120" w:line="276" w:lineRule="auto"/>
      <w:ind w:left="567"/>
      <w:jc w:val="both"/>
    </w:pPr>
    <w:rPr>
      <w:rFonts w:asciiTheme="minorHAnsi" w:eastAsia="MS Mincho" w:hAnsiTheme="minorHAnsi"/>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9028">
      <w:bodyDiv w:val="1"/>
      <w:marLeft w:val="0"/>
      <w:marRight w:val="0"/>
      <w:marTop w:val="0"/>
      <w:marBottom w:val="0"/>
      <w:divBdr>
        <w:top w:val="none" w:sz="0" w:space="0" w:color="auto"/>
        <w:left w:val="none" w:sz="0" w:space="0" w:color="auto"/>
        <w:bottom w:val="none" w:sz="0" w:space="0" w:color="auto"/>
        <w:right w:val="none" w:sz="0" w:space="0" w:color="auto"/>
      </w:divBdr>
    </w:div>
    <w:div w:id="256518599">
      <w:bodyDiv w:val="1"/>
      <w:marLeft w:val="0"/>
      <w:marRight w:val="0"/>
      <w:marTop w:val="0"/>
      <w:marBottom w:val="0"/>
      <w:divBdr>
        <w:top w:val="none" w:sz="0" w:space="0" w:color="auto"/>
        <w:left w:val="none" w:sz="0" w:space="0" w:color="auto"/>
        <w:bottom w:val="none" w:sz="0" w:space="0" w:color="auto"/>
        <w:right w:val="none" w:sz="0" w:space="0" w:color="auto"/>
      </w:divBdr>
    </w:div>
    <w:div w:id="289091229">
      <w:bodyDiv w:val="1"/>
      <w:marLeft w:val="0"/>
      <w:marRight w:val="0"/>
      <w:marTop w:val="0"/>
      <w:marBottom w:val="0"/>
      <w:divBdr>
        <w:top w:val="none" w:sz="0" w:space="0" w:color="auto"/>
        <w:left w:val="none" w:sz="0" w:space="0" w:color="auto"/>
        <w:bottom w:val="none" w:sz="0" w:space="0" w:color="auto"/>
        <w:right w:val="none" w:sz="0" w:space="0" w:color="auto"/>
      </w:divBdr>
    </w:div>
    <w:div w:id="617222219">
      <w:bodyDiv w:val="1"/>
      <w:marLeft w:val="0"/>
      <w:marRight w:val="0"/>
      <w:marTop w:val="0"/>
      <w:marBottom w:val="0"/>
      <w:divBdr>
        <w:top w:val="none" w:sz="0" w:space="0" w:color="auto"/>
        <w:left w:val="none" w:sz="0" w:space="0" w:color="auto"/>
        <w:bottom w:val="none" w:sz="0" w:space="0" w:color="auto"/>
        <w:right w:val="none" w:sz="0" w:space="0" w:color="auto"/>
      </w:divBdr>
    </w:div>
    <w:div w:id="1332634470">
      <w:bodyDiv w:val="1"/>
      <w:marLeft w:val="0"/>
      <w:marRight w:val="0"/>
      <w:marTop w:val="0"/>
      <w:marBottom w:val="0"/>
      <w:divBdr>
        <w:top w:val="none" w:sz="0" w:space="0" w:color="auto"/>
        <w:left w:val="none" w:sz="0" w:space="0" w:color="auto"/>
        <w:bottom w:val="none" w:sz="0" w:space="0" w:color="auto"/>
        <w:right w:val="none" w:sz="0" w:space="0" w:color="auto"/>
      </w:divBdr>
    </w:div>
    <w:div w:id="1431001143">
      <w:bodyDiv w:val="1"/>
      <w:marLeft w:val="0"/>
      <w:marRight w:val="0"/>
      <w:marTop w:val="0"/>
      <w:marBottom w:val="0"/>
      <w:divBdr>
        <w:top w:val="none" w:sz="0" w:space="0" w:color="auto"/>
        <w:left w:val="none" w:sz="0" w:space="0" w:color="auto"/>
        <w:bottom w:val="none" w:sz="0" w:space="0" w:color="auto"/>
        <w:right w:val="none" w:sz="0" w:space="0" w:color="auto"/>
      </w:divBdr>
    </w:div>
    <w:div w:id="2026981130">
      <w:bodyDiv w:val="1"/>
      <w:marLeft w:val="0"/>
      <w:marRight w:val="0"/>
      <w:marTop w:val="0"/>
      <w:marBottom w:val="0"/>
      <w:divBdr>
        <w:top w:val="none" w:sz="0" w:space="0" w:color="auto"/>
        <w:left w:val="none" w:sz="0" w:space="0" w:color="auto"/>
        <w:bottom w:val="none" w:sz="0" w:space="0" w:color="auto"/>
        <w:right w:val="none" w:sz="0" w:space="0" w:color="auto"/>
      </w:divBdr>
    </w:div>
    <w:div w:id="20988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tina.adorni@oecd-nea.org" TargetMode="External"/><Relationship Id="rId18" Type="http://schemas.openxmlformats.org/officeDocument/2006/relationships/hyperlink" Target="https://www.oecd-nea.org/documents%20/" TargetMode="External"/><Relationship Id="rId26" Type="http://schemas.openxmlformats.org/officeDocument/2006/relationships/hyperlink" Target="https://www.oecd-nea.org/jcms/pl_80836/" TargetMode="External"/><Relationship Id="rId39" Type="http://schemas.openxmlformats.org/officeDocument/2006/relationships/hyperlink" Target="https://www.oecd-nea.org/jcms/pl_76833/" TargetMode="External"/><Relationship Id="rId3" Type="http://schemas.openxmlformats.org/officeDocument/2006/relationships/customXml" Target="../customXml/item3.xml"/><Relationship Id="rId21" Type="http://schemas.openxmlformats.org/officeDocument/2006/relationships/hyperlink" Target="https://www.oecd-nea.org/jcms/pl_19550/assessment-of-cfd-codes-for-nuclear-reactor-safety-problems-revision-2" TargetMode="External"/><Relationship Id="rId34" Type="http://schemas.openxmlformats.org/officeDocument/2006/relationships/hyperlink" Target="https://www.oecd-nea.org/jcms/pl_19413" TargetMode="External"/><Relationship Id="rId42" Type="http://schemas.openxmlformats.org/officeDocument/2006/relationships/hyperlink" Target="https://www.oecd-nea.org/jcms/pl_24812/" TargetMode="External"/><Relationship Id="rId47" Type="http://schemas.openxmlformats.org/officeDocument/2006/relationships/hyperlink" Target="https://www.oecd-nea.org/upload/docs/application/pdf/2019-12/7443-pheno_id_rank_table.pdf"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hmed.bentaib@irsn.fr" TargetMode="External"/><Relationship Id="rId17" Type="http://schemas.openxmlformats.org/officeDocument/2006/relationships/hyperlink" Target="https://www.oecd-nea.org/jcms/pl_23462" TargetMode="External"/><Relationship Id="rId25" Type="http://schemas.openxmlformats.org/officeDocument/2006/relationships/hyperlink" Target="https://www.oecd-nea.org/jcms/pl_19838/" TargetMode="External"/><Relationship Id="rId33" Type="http://schemas.openxmlformats.org/officeDocument/2006/relationships/hyperlink" Target="https://www.oecd-nea.org/jcms/pl_17492" TargetMode="External"/><Relationship Id="rId38" Type="http://schemas.openxmlformats.org/officeDocument/2006/relationships/hyperlink" Target="https://www.oecd-nea.org/jcms/pl_72332/" TargetMode="External"/><Relationship Id="rId46" Type="http://schemas.openxmlformats.org/officeDocument/2006/relationships/hyperlink" Target="https://www.oecd-nea.org/jcms/pl_19596" TargetMode="External"/><Relationship Id="rId2" Type="http://schemas.openxmlformats.org/officeDocument/2006/relationships/customXml" Target="../customXml/item2.xml"/><Relationship Id="rId16" Type="http://schemas.openxmlformats.org/officeDocument/2006/relationships/hyperlink" Target="https://www.oecd-nea.org/nsd/docs/indexcsni.html" TargetMode="External"/><Relationship Id="rId20" Type="http://schemas.openxmlformats.org/officeDocument/2006/relationships/hyperlink" Target="https://www.sciencedirect.com/journal/nuclear-engineering-and-design/special-issue/10VTNT880D5" TargetMode="External"/><Relationship Id="rId29" Type="http://schemas.openxmlformats.org/officeDocument/2006/relationships/hyperlink" Target="https://www.oecd-nea.org/jcms/pl_16086" TargetMode="External"/><Relationship Id="rId41" Type="http://schemas.openxmlformats.org/officeDocument/2006/relationships/hyperlink" Target="https://www.oecd-nea.org/jcms/pl_594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kamura.hideo@jaea.go.jp" TargetMode="External"/><Relationship Id="rId24" Type="http://schemas.openxmlformats.org/officeDocument/2006/relationships/hyperlink" Target="https://www.oecd-nea.org/jcms/pl_65844/" TargetMode="External"/><Relationship Id="rId32" Type="http://schemas.openxmlformats.org/officeDocument/2006/relationships/hyperlink" Target="https://www.oecd-nea.org/jcms/pl_17476" TargetMode="External"/><Relationship Id="rId37" Type="http://schemas.openxmlformats.org/officeDocument/2006/relationships/hyperlink" Target="https://www.oecd-nea.org/jcms/pl_14784/" TargetMode="External"/><Relationship Id="rId40" Type="http://schemas.openxmlformats.org/officeDocument/2006/relationships/hyperlink" Target="https://www.oecd-nea.org/jcms/pl_72839/" TargetMode="External"/><Relationship Id="rId45" Type="http://schemas.openxmlformats.org/officeDocument/2006/relationships/hyperlink" Target="https://www.oecd-nea.org/jcms/pl_80836/"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oecd-nea.org/jcms/pl_17740/" TargetMode="External"/><Relationship Id="rId28" Type="http://schemas.openxmlformats.org/officeDocument/2006/relationships/hyperlink" Target="https://www.oecd-nea.org/jcms/pl_15968" TargetMode="External"/><Relationship Id="rId36" Type="http://schemas.openxmlformats.org/officeDocument/2006/relationships/hyperlink" Target="https://www.oecd-nea.org/dbcps/ccvm/index.htm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ecd-nea.org/dbcps/safety" TargetMode="External"/><Relationship Id="rId31" Type="http://schemas.openxmlformats.org/officeDocument/2006/relationships/hyperlink" Target="https://www.oecd-nea.org/jcms/pl_16134" TargetMode="External"/><Relationship Id="rId44" Type="http://schemas.openxmlformats.org/officeDocument/2006/relationships/hyperlink" Target="https://www.oecd-nea.org/jcms/pl_25253/" TargetMode="Externa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ecd-nea.org/jcms/pl_19548/" TargetMode="External"/><Relationship Id="rId27" Type="http://schemas.openxmlformats.org/officeDocument/2006/relationships/hyperlink" Target="https://www.oecd-nea.org/upload/docs/application/pdf/2020-01/csni87-132.pdf" TargetMode="External"/><Relationship Id="rId30" Type="http://schemas.openxmlformats.org/officeDocument/2006/relationships/hyperlink" Target="https://www.oecd-nea.org/jcms/pl_16132" TargetMode="External"/><Relationship Id="rId35" Type="http://schemas.openxmlformats.org/officeDocument/2006/relationships/hyperlink" Target="https://www.oecd-nea.org/dbcps/ccvm/indexset.html" TargetMode="External"/><Relationship Id="rId43" Type="http://schemas.openxmlformats.org/officeDocument/2006/relationships/hyperlink" Target="https://www.oecd-nea.org/jcms/pl_14866/" TargetMode="External"/><Relationship Id="rId48" Type="http://schemas.openxmlformats.org/officeDocument/2006/relationships/footer" Target="footer2.xml"/><Relationship Id="rId8" Type="http://schemas.openxmlformats.org/officeDocument/2006/relationships/webSettings" Target="webSettings.xml"/><Relationship Id="rId51"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f186f9-12fc-49c4-b34b-83e22dad0ebe" xsi:nil="true"/>
    <lcf76f155ced4ddcb4097134ff3c332f xmlns="cfd664a4-0d16-41cc-93e1-02e5e4175d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14C98925BF85344080E7DD80A13A1C82" ma:contentTypeVersion="16" ma:contentTypeDescription="새 문서를 만듭니다." ma:contentTypeScope="" ma:versionID="c5da32ffbb99c4243afbd5b38aee955f">
  <xsd:schema xmlns:xsd="http://www.w3.org/2001/XMLSchema" xmlns:xs="http://www.w3.org/2001/XMLSchema" xmlns:p="http://schemas.microsoft.com/office/2006/metadata/properties" xmlns:ns2="cfd664a4-0d16-41cc-93e1-02e5e4175d64" xmlns:ns3="81f186f9-12fc-49c4-b34b-83e22dad0ebe" targetNamespace="http://schemas.microsoft.com/office/2006/metadata/properties" ma:root="true" ma:fieldsID="8685ac0444cac5e99ad72570dbc781fe" ns2:_="" ns3:_="">
    <xsd:import namespace="cfd664a4-0d16-41cc-93e1-02e5e4175d64"/>
    <xsd:import namespace="81f186f9-12fc-49c4-b34b-83e22dad0e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64a4-0d16-41cc-93e1-02e5e4175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이미지 태그" ma:readOnly="false" ma:fieldId="{5cf76f15-5ced-4ddc-b409-7134ff3c332f}" ma:taxonomyMulti="true" ma:sspId="3f7807d1-82c6-4e7e-ad3b-0b540edf00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f186f9-12fc-49c4-b34b-83e22dad0eb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d674065-6215-43bd-8a85-8245d8ca2b72}" ma:internalName="TaxCatchAll" ma:showField="CatchAllData" ma:web="81f186f9-12fc-49c4-b34b-83e22dad0eb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071EF-FB57-4F86-AA94-86CB751E8246}">
  <ds:schemaRefs>
    <ds:schemaRef ds:uri="http://schemas.microsoft.com/office/2006/metadata/properties"/>
    <ds:schemaRef ds:uri="http://schemas.microsoft.com/office/infopath/2007/PartnerControls"/>
    <ds:schemaRef ds:uri="81f186f9-12fc-49c4-b34b-83e22dad0ebe"/>
    <ds:schemaRef ds:uri="cfd664a4-0d16-41cc-93e1-02e5e4175d64"/>
  </ds:schemaRefs>
</ds:datastoreItem>
</file>

<file path=customXml/itemProps2.xml><?xml version="1.0" encoding="utf-8"?>
<ds:datastoreItem xmlns:ds="http://schemas.openxmlformats.org/officeDocument/2006/customXml" ds:itemID="{CDCA3108-526D-46CF-BA32-4A4896B40C9D}">
  <ds:schemaRefs>
    <ds:schemaRef ds:uri="http://schemas.microsoft.com/sharepoint/v3/contenttype/forms"/>
  </ds:schemaRefs>
</ds:datastoreItem>
</file>

<file path=customXml/itemProps3.xml><?xml version="1.0" encoding="utf-8"?>
<ds:datastoreItem xmlns:ds="http://schemas.openxmlformats.org/officeDocument/2006/customXml" ds:itemID="{AF6B6017-6F2D-4E72-A0F5-C0C9A243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664a4-0d16-41cc-93e1-02e5e4175d64"/>
    <ds:schemaRef ds:uri="81f186f9-12fc-49c4-b34b-83e22dad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5F78B-68C0-4DE7-9CB7-058EA453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5627</Words>
  <Characters>33820</Characters>
  <Application>Microsoft Office Word</Application>
  <DocSecurity>0</DocSecurity>
  <Lines>939</Lines>
  <Paragraphs>222</Paragraphs>
  <ScaleCrop>false</ScaleCrop>
  <HeadingPairs>
    <vt:vector size="8" baseType="variant">
      <vt:variant>
        <vt:lpstr>Title</vt:lpstr>
      </vt:variant>
      <vt:variant>
        <vt:i4>1</vt:i4>
      </vt:variant>
      <vt:variant>
        <vt:lpstr>タイトル</vt:lpstr>
      </vt:variant>
      <vt:variant>
        <vt:i4>1</vt:i4>
      </vt:variant>
      <vt:variant>
        <vt:lpstr>Titre</vt:lpstr>
      </vt:variant>
      <vt:variant>
        <vt:i4>1</vt:i4>
      </vt:variant>
      <vt:variant>
        <vt:lpstr>Tytuł</vt:lpstr>
      </vt:variant>
      <vt:variant>
        <vt:i4>1</vt:i4>
      </vt:variant>
    </vt:vector>
  </HeadingPairs>
  <TitlesOfParts>
    <vt:vector size="4" baseType="lpstr">
      <vt:lpstr>Put Paper Title Here</vt:lpstr>
      <vt:lpstr>Put Paper Title Here</vt:lpstr>
      <vt:lpstr>Put Paper Title Here</vt:lpstr>
      <vt:lpstr>Put Paper Title Here</vt:lpstr>
    </vt:vector>
  </TitlesOfParts>
  <Company/>
  <LinksUpToDate>false</LinksUpToDate>
  <CharactersWithSpaces>39225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INSPI</dc:creator>
  <cp:keywords/>
  <cp:lastModifiedBy>ADORNI Martina, NEA/SAF</cp:lastModifiedBy>
  <cp:revision>3</cp:revision>
  <cp:lastPrinted>2023-07-13T04:20:00Z</cp:lastPrinted>
  <dcterms:created xsi:type="dcterms:W3CDTF">2023-08-04T09:10:00Z</dcterms:created>
  <dcterms:modified xsi:type="dcterms:W3CDTF">2023-08-04T09:11:00Z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0x01010014C98925BF85344080E7DD80A13A1C82</vt:lpwstr>
  </property>
  <property fmtid="{D5CDD505-2E9C-101B-9397-08002B2CF9AE}" pid="3" name="OECDDocumentId">
    <vt:lpwstr>F8A167B9E53A883C2D6A032E09E8C21F799ABDBC7C84B936F64A25359E306FE3</vt:lpwstr>
  </property>
  <property fmtid="{D5CDD505-2E9C-101B-9397-08002B2CF9AE}" pid="4" name="OecdDocumentCoteLangHash">
    <vt:lpwstr/>
  </property>
</Properties>
</file>