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C173" w14:textId="77777777" w:rsidR="00F45F1D" w:rsidRDefault="00F45F1D" w:rsidP="00697D3A">
      <w:pPr>
        <w:pStyle w:val="Affiliation"/>
        <w:rPr>
          <w:rFonts w:ascii="Times New Roman" w:eastAsia="Times New Roman" w:hAnsi="Times New Roman"/>
          <w:b/>
          <w:spacing w:val="-10"/>
          <w:kern w:val="28"/>
          <w:sz w:val="32"/>
          <w:szCs w:val="56"/>
          <w:lang w:val="en-GB"/>
        </w:rPr>
      </w:pPr>
      <w:bookmarkStart w:id="0" w:name="PutAuthorsHere"/>
    </w:p>
    <w:p w14:paraId="5B6C62CE" w14:textId="27B725ED" w:rsidR="00781B6A" w:rsidRDefault="00544377" w:rsidP="00697D3A">
      <w:pPr>
        <w:pStyle w:val="Affiliation"/>
        <w:rPr>
          <w:rFonts w:ascii="Times New Roman" w:hAnsi="Times New Roman"/>
        </w:rPr>
      </w:pPr>
      <w:r w:rsidRPr="00544377">
        <w:rPr>
          <w:rFonts w:ascii="Times New Roman" w:eastAsia="Times New Roman" w:hAnsi="Times New Roman"/>
          <w:b/>
          <w:spacing w:val="-10"/>
          <w:kern w:val="28"/>
          <w:sz w:val="32"/>
          <w:szCs w:val="56"/>
          <w:lang w:val="en-GB"/>
        </w:rPr>
        <w:t>Experimental Investigation of Bubble</w:t>
      </w:r>
      <w:r w:rsidR="00697D3A">
        <w:rPr>
          <w:rFonts w:ascii="Times New Roman" w:eastAsia="Times New Roman" w:hAnsi="Times New Roman"/>
          <w:b/>
          <w:spacing w:val="-10"/>
          <w:kern w:val="28"/>
          <w:sz w:val="32"/>
          <w:szCs w:val="56"/>
          <w:lang w:val="en-GB"/>
        </w:rPr>
        <w:t xml:space="preserve"> </w:t>
      </w:r>
      <w:r w:rsidRPr="00544377">
        <w:rPr>
          <w:rFonts w:ascii="Times New Roman" w:eastAsia="Times New Roman" w:hAnsi="Times New Roman"/>
          <w:b/>
          <w:spacing w:val="-10"/>
          <w:kern w:val="28"/>
          <w:sz w:val="32"/>
          <w:szCs w:val="56"/>
          <w:lang w:val="en-GB"/>
        </w:rPr>
        <w:t>Dynamics During Loss of Coolant Accident Conditions in a Pressurized Water Small Modular Reactor (PWSMR)</w:t>
      </w:r>
    </w:p>
    <w:p w14:paraId="68174F00" w14:textId="77777777" w:rsidR="00781B6A" w:rsidRDefault="00781B6A">
      <w:pPr>
        <w:pStyle w:val="Affiliation"/>
        <w:jc w:val="both"/>
        <w:rPr>
          <w:rFonts w:ascii="Times New Roman" w:hAnsi="Times New Roman"/>
        </w:rPr>
      </w:pPr>
    </w:p>
    <w:p w14:paraId="613EAEDB" w14:textId="650F2DAA" w:rsidR="00781B6A" w:rsidRPr="009448A4" w:rsidRDefault="00544377">
      <w:pPr>
        <w:pStyle w:val="Affiliation"/>
        <w:rPr>
          <w:rFonts w:ascii="Times New Roman" w:hAnsi="Times New Roman"/>
        </w:rPr>
      </w:pPr>
      <w:r>
        <w:rPr>
          <w:rFonts w:ascii="Times New Roman" w:hAnsi="Times New Roman"/>
        </w:rPr>
        <w:t>Saud</w:t>
      </w:r>
      <w:r w:rsidR="00305B95">
        <w:rPr>
          <w:rFonts w:ascii="Times New Roman" w:hAnsi="Times New Roman"/>
        </w:rPr>
        <w:t xml:space="preserve"> H.</w:t>
      </w:r>
      <w:r>
        <w:rPr>
          <w:rFonts w:ascii="Times New Roman" w:hAnsi="Times New Roman"/>
        </w:rPr>
        <w:t xml:space="preserve"> Aldawood</w:t>
      </w:r>
      <w:r w:rsidR="005256F5" w:rsidRPr="005256F5">
        <w:rPr>
          <w:rFonts w:ascii="Times New Roman" w:hAnsi="Times New Roman"/>
          <w:vertAlign w:val="superscript"/>
        </w:rPr>
        <w:t>1</w:t>
      </w:r>
      <w:r w:rsidR="0091341B">
        <w:rPr>
          <w:rFonts w:ascii="Times New Roman" w:hAnsi="Times New Roman"/>
          <w:vertAlign w:val="superscript"/>
        </w:rPr>
        <w:t>,3</w:t>
      </w:r>
      <w:r w:rsidR="005256F5">
        <w:rPr>
          <w:rFonts w:ascii="Times New Roman" w:hAnsi="Times New Roman"/>
        </w:rPr>
        <w:t xml:space="preserve">, </w:t>
      </w:r>
      <w:proofErr w:type="spellStart"/>
      <w:r w:rsidR="005256F5">
        <w:rPr>
          <w:rFonts w:ascii="Times New Roman" w:hAnsi="Times New Roman"/>
        </w:rPr>
        <w:t>Muh</w:t>
      </w:r>
      <w:r w:rsidR="0091341B">
        <w:rPr>
          <w:rFonts w:ascii="Times New Roman" w:hAnsi="Times New Roman"/>
        </w:rPr>
        <w:t>n</w:t>
      </w:r>
      <w:r w:rsidR="005256F5">
        <w:rPr>
          <w:rFonts w:ascii="Times New Roman" w:hAnsi="Times New Roman"/>
        </w:rPr>
        <w:t>a</w:t>
      </w:r>
      <w:proofErr w:type="spellEnd"/>
      <w:r w:rsidR="009448A4">
        <w:rPr>
          <w:rFonts w:ascii="Times New Roman" w:hAnsi="Times New Roman"/>
        </w:rPr>
        <w:t xml:space="preserve"> N.</w:t>
      </w:r>
      <w:r w:rsidR="005256F5">
        <w:rPr>
          <w:rFonts w:ascii="Times New Roman" w:hAnsi="Times New Roman"/>
        </w:rPr>
        <w:t xml:space="preserve"> Al</w:t>
      </w:r>
      <w:r w:rsidR="009448A4">
        <w:rPr>
          <w:rFonts w:ascii="Times New Roman" w:hAnsi="Times New Roman"/>
        </w:rPr>
        <w:t>shammari</w:t>
      </w:r>
      <w:r w:rsidR="002057B8">
        <w:rPr>
          <w:rFonts w:ascii="Times New Roman" w:hAnsi="Times New Roman"/>
          <w:vertAlign w:val="superscript"/>
        </w:rPr>
        <w:t>1</w:t>
      </w:r>
      <w:r w:rsidR="002057B8">
        <w:rPr>
          <w:rFonts w:ascii="Times New Roman" w:hAnsi="Times New Roman"/>
        </w:rPr>
        <w:t>,</w:t>
      </w:r>
      <w:r w:rsidR="009448A4">
        <w:rPr>
          <w:rFonts w:ascii="Times New Roman" w:hAnsi="Times New Roman"/>
        </w:rPr>
        <w:t xml:space="preserve"> Muthanna Al-Dahhan</w:t>
      </w:r>
      <w:r w:rsidR="00B714E9">
        <w:rPr>
          <w:rFonts w:ascii="Times New Roman" w:hAnsi="Times New Roman"/>
          <w:vertAlign w:val="superscript"/>
        </w:rPr>
        <w:t>2</w:t>
      </w:r>
      <w:r w:rsidR="00791FD6" w:rsidRPr="00791FD6">
        <w:rPr>
          <w:rFonts w:ascii="Times New Roman" w:hAnsi="Times New Roman"/>
          <w:vertAlign w:val="superscript"/>
        </w:rPr>
        <w:t>,</w:t>
      </w:r>
      <w:r w:rsidR="00B714E9">
        <w:rPr>
          <w:rFonts w:ascii="Times New Roman" w:hAnsi="Times New Roman"/>
          <w:vertAlign w:val="superscript"/>
        </w:rPr>
        <w:t>3</w:t>
      </w:r>
    </w:p>
    <w:p w14:paraId="3CC6EB10" w14:textId="3106ED83" w:rsidR="00781B6A" w:rsidRDefault="00CE62A0">
      <w:pPr>
        <w:pStyle w:val="Heading1"/>
      </w:pPr>
      <w:r w:rsidRPr="00CE62A0">
        <w:rPr>
          <w:vertAlign w:val="superscript"/>
        </w:rPr>
        <w:t>1</w:t>
      </w:r>
      <w:r w:rsidR="00742123">
        <w:t>Nuclear Technolo</w:t>
      </w:r>
      <w:r w:rsidR="007726A8">
        <w:t>gies Institute</w:t>
      </w:r>
      <w:r w:rsidR="00F5217F">
        <w:t xml:space="preserve">, </w:t>
      </w:r>
      <w:r w:rsidR="00165C66">
        <w:t>KACST</w:t>
      </w:r>
      <w:r w:rsidR="00770C54">
        <w:t xml:space="preserve">, </w:t>
      </w:r>
      <w:r w:rsidR="008E5BBE">
        <w:t xml:space="preserve">Riyadh, </w:t>
      </w:r>
      <w:r w:rsidR="00955727">
        <w:t>KSA</w:t>
      </w:r>
    </w:p>
    <w:p w14:paraId="47BDD912" w14:textId="3D701C09" w:rsidR="00AC28D1" w:rsidRPr="002041F5" w:rsidRDefault="002041F5" w:rsidP="00165C66">
      <w:pPr>
        <w:jc w:val="center"/>
        <w:rPr>
          <w:i/>
          <w:iCs/>
        </w:rPr>
      </w:pPr>
      <w:r w:rsidRPr="002041F5">
        <w:rPr>
          <w:i/>
          <w:iCs/>
          <w:vertAlign w:val="superscript"/>
        </w:rPr>
        <w:t>2</w:t>
      </w:r>
      <w:r w:rsidRPr="002041F5">
        <w:rPr>
          <w:i/>
          <w:iCs/>
        </w:rPr>
        <w:t xml:space="preserve">Linda and Bipin Doshi Chemical and Biochemical Engineering Department, </w:t>
      </w:r>
      <w:r w:rsidR="00165C66">
        <w:rPr>
          <w:i/>
          <w:iCs/>
        </w:rPr>
        <w:t>MST</w:t>
      </w:r>
      <w:r w:rsidRPr="002041F5">
        <w:rPr>
          <w:i/>
          <w:iCs/>
        </w:rPr>
        <w:t>, Rolla, MO, USA</w:t>
      </w:r>
    </w:p>
    <w:p w14:paraId="4F1853DB" w14:textId="62765418" w:rsidR="008F1F20" w:rsidRPr="008F1F20" w:rsidRDefault="00955727" w:rsidP="00955727">
      <w:pPr>
        <w:pStyle w:val="Heading1"/>
      </w:pPr>
      <w:r>
        <w:rPr>
          <w:vertAlign w:val="superscript"/>
        </w:rPr>
        <w:t>3</w:t>
      </w:r>
      <w:r w:rsidRPr="00955727">
        <w:t xml:space="preserve">Nuclear Engineering and Radiation Science Department, </w:t>
      </w:r>
      <w:r w:rsidR="00165C66">
        <w:t>MST</w:t>
      </w:r>
      <w:r w:rsidRPr="00955727">
        <w:t>, Rolla, MO, USA</w:t>
      </w:r>
    </w:p>
    <w:p w14:paraId="3634A70B" w14:textId="7DAE4C09" w:rsidR="00781B6A" w:rsidRDefault="00781B6A">
      <w:pPr>
        <w:jc w:val="center"/>
        <w:rPr>
          <w:i/>
          <w:iCs/>
        </w:rPr>
      </w:pPr>
    </w:p>
    <w:p w14:paraId="1CF92FDC" w14:textId="79B9AED2" w:rsidR="00781B6A" w:rsidRDefault="00A42595">
      <w:pPr>
        <w:jc w:val="center"/>
        <w:rPr>
          <w:i/>
          <w:iCs/>
        </w:rPr>
      </w:pPr>
      <w:r>
        <w:rPr>
          <w:i/>
          <w:iCs/>
        </w:rPr>
        <w:t>aldahhanm@mst.edu</w:t>
      </w:r>
    </w:p>
    <w:p w14:paraId="1EADBCC0" w14:textId="77777777" w:rsidR="00781B6A" w:rsidRDefault="00781B6A">
      <w:pPr>
        <w:jc w:val="center"/>
        <w:rPr>
          <w:i/>
          <w:iCs/>
        </w:rPr>
      </w:pPr>
    </w:p>
    <w:p w14:paraId="0A2EE393" w14:textId="77777777" w:rsidR="00781B6A" w:rsidRDefault="00781B6A"/>
    <w:p w14:paraId="43DD3F5E" w14:textId="41C5FD77" w:rsidR="00781B6A" w:rsidRPr="00BB7497" w:rsidRDefault="00781B6A" w:rsidP="00B03844">
      <w:pPr>
        <w:pStyle w:val="Author"/>
        <w:ind w:left="1080" w:right="1080"/>
        <w:jc w:val="both"/>
        <w:rPr>
          <w:rFonts w:ascii="Times New Roman" w:hAnsi="Times New Roman"/>
          <w:b w:val="0"/>
          <w:bCs/>
          <w:i/>
          <w:iCs/>
          <w:sz w:val="22"/>
          <w:szCs w:val="22"/>
        </w:rPr>
      </w:pPr>
      <w:r w:rsidRPr="00BB7497">
        <w:rPr>
          <w:rFonts w:ascii="Times New Roman" w:hAnsi="Times New Roman"/>
          <w:bCs/>
          <w:sz w:val="22"/>
          <w:szCs w:val="22"/>
        </w:rPr>
        <w:t xml:space="preserve">Abstract – </w:t>
      </w:r>
      <w:r w:rsidR="007C2C4F" w:rsidRPr="007C2C4F">
        <w:rPr>
          <w:rFonts w:ascii="Times New Roman" w:hAnsi="Times New Roman"/>
          <w:b w:val="0"/>
          <w:bCs/>
          <w:i/>
          <w:iCs/>
          <w:sz w:val="22"/>
          <w:szCs w:val="22"/>
        </w:rPr>
        <w:t>The purpose of this investigation was to study bubble dynamics in an adiabatic air-water two-phase flow, mimicking the Loss of Coolant Accident (LOCA) scenario in a Pressurized Water Small Modular Reactor (PWSMR).</w:t>
      </w:r>
      <w:r w:rsidR="007C2C4F">
        <w:rPr>
          <w:rFonts w:ascii="Times New Roman" w:hAnsi="Times New Roman"/>
          <w:b w:val="0"/>
          <w:bCs/>
          <w:i/>
          <w:iCs/>
          <w:sz w:val="22"/>
          <w:szCs w:val="22"/>
        </w:rPr>
        <w:t xml:space="preserve"> </w:t>
      </w:r>
      <w:r w:rsidR="007C2C4F" w:rsidRPr="007C2C4F">
        <w:rPr>
          <w:rFonts w:ascii="Times New Roman" w:hAnsi="Times New Roman"/>
          <w:b w:val="0"/>
          <w:bCs/>
          <w:i/>
          <w:iCs/>
          <w:sz w:val="22"/>
          <w:szCs w:val="22"/>
        </w:rPr>
        <w:t xml:space="preserve">A 5x5 rod bundle, with each rod 9.5 mm in diameter and a </w:t>
      </w:r>
      <w:r w:rsidR="002E2169">
        <w:rPr>
          <w:rFonts w:ascii="Times New Roman" w:hAnsi="Times New Roman"/>
          <w:b w:val="0"/>
          <w:bCs/>
          <w:i/>
          <w:iCs/>
          <w:sz w:val="22"/>
          <w:szCs w:val="22"/>
        </w:rPr>
        <w:t>P</w:t>
      </w:r>
      <w:r w:rsidR="007C2C4F" w:rsidRPr="007C2C4F">
        <w:rPr>
          <w:rFonts w:ascii="Times New Roman" w:hAnsi="Times New Roman"/>
          <w:b w:val="0"/>
          <w:bCs/>
          <w:i/>
          <w:iCs/>
          <w:sz w:val="22"/>
          <w:szCs w:val="22"/>
        </w:rPr>
        <w:t>itch-to-Diameter ratio (P/D) of 1.33, was used to</w:t>
      </w:r>
      <w:r w:rsidR="007C2C4F">
        <w:rPr>
          <w:rFonts w:ascii="Times New Roman" w:hAnsi="Times New Roman"/>
          <w:b w:val="0"/>
          <w:bCs/>
          <w:i/>
          <w:iCs/>
          <w:sz w:val="22"/>
          <w:szCs w:val="22"/>
        </w:rPr>
        <w:t xml:space="preserve"> </w:t>
      </w:r>
      <w:r w:rsidR="007C2C4F" w:rsidRPr="007C2C4F">
        <w:rPr>
          <w:rFonts w:ascii="Times New Roman" w:hAnsi="Times New Roman"/>
          <w:b w:val="0"/>
          <w:bCs/>
          <w:i/>
          <w:iCs/>
          <w:sz w:val="22"/>
          <w:szCs w:val="22"/>
        </w:rPr>
        <w:t>represent the fuel rods. A 4-point fiber optical probe was used to obtain detailed data on bubble dynamics,</w:t>
      </w:r>
      <w:r w:rsidR="007C2C4F">
        <w:rPr>
          <w:rFonts w:ascii="Times New Roman" w:hAnsi="Times New Roman"/>
          <w:b w:val="0"/>
          <w:bCs/>
          <w:i/>
          <w:iCs/>
          <w:sz w:val="22"/>
          <w:szCs w:val="22"/>
        </w:rPr>
        <w:t xml:space="preserve"> </w:t>
      </w:r>
      <w:r w:rsidR="007C2C4F" w:rsidRPr="007C2C4F">
        <w:rPr>
          <w:rFonts w:ascii="Times New Roman" w:hAnsi="Times New Roman"/>
          <w:b w:val="0"/>
          <w:bCs/>
          <w:i/>
          <w:iCs/>
          <w:sz w:val="22"/>
          <w:szCs w:val="22"/>
        </w:rPr>
        <w:t>including local void fraction, bubble velocity, bubble chord length, interfacial area concentration, and bubble</w:t>
      </w:r>
      <w:r w:rsidR="007C2C4F">
        <w:rPr>
          <w:rFonts w:ascii="Times New Roman" w:hAnsi="Times New Roman"/>
          <w:b w:val="0"/>
          <w:bCs/>
          <w:i/>
          <w:iCs/>
          <w:sz w:val="22"/>
          <w:szCs w:val="22"/>
        </w:rPr>
        <w:t xml:space="preserve"> </w:t>
      </w:r>
      <w:r w:rsidR="007C2C4F" w:rsidRPr="007C2C4F">
        <w:rPr>
          <w:rFonts w:ascii="Times New Roman" w:hAnsi="Times New Roman"/>
          <w:b w:val="0"/>
          <w:bCs/>
          <w:i/>
          <w:iCs/>
          <w:sz w:val="22"/>
          <w:szCs w:val="22"/>
        </w:rPr>
        <w:t>passage frequency at a wide range of water and air superficial velocities. The experiment was conducted at</w:t>
      </w:r>
      <w:r w:rsidR="004F34DD">
        <w:rPr>
          <w:rFonts w:ascii="Times New Roman" w:hAnsi="Times New Roman"/>
          <w:b w:val="0"/>
          <w:bCs/>
          <w:i/>
          <w:iCs/>
          <w:sz w:val="22"/>
          <w:szCs w:val="22"/>
        </w:rPr>
        <w:t xml:space="preserve"> </w:t>
      </w:r>
      <w:r w:rsidR="007C2C4F" w:rsidRPr="007C2C4F">
        <w:rPr>
          <w:rFonts w:ascii="Times New Roman" w:hAnsi="Times New Roman"/>
          <w:b w:val="0"/>
          <w:bCs/>
          <w:i/>
          <w:iCs/>
          <w:sz w:val="22"/>
          <w:szCs w:val="22"/>
        </w:rPr>
        <w:t>various axial and radial locations before and right after the spacer grids to assess the impact of spacer gri</w:t>
      </w:r>
      <w:r w:rsidR="004F34DD">
        <w:rPr>
          <w:rFonts w:ascii="Times New Roman" w:hAnsi="Times New Roman"/>
          <w:b w:val="0"/>
          <w:bCs/>
          <w:i/>
          <w:iCs/>
          <w:sz w:val="22"/>
          <w:szCs w:val="22"/>
        </w:rPr>
        <w:t xml:space="preserve">d </w:t>
      </w:r>
      <w:r w:rsidR="007C2C4F" w:rsidRPr="007C2C4F">
        <w:rPr>
          <w:rFonts w:ascii="Times New Roman" w:hAnsi="Times New Roman"/>
          <w:b w:val="0"/>
          <w:bCs/>
          <w:i/>
          <w:iCs/>
          <w:sz w:val="22"/>
          <w:szCs w:val="22"/>
        </w:rPr>
        <w:t>mixing vanes. Higher void fraction, bubble passage</w:t>
      </w:r>
      <w:r w:rsidR="00C61FAE">
        <w:rPr>
          <w:rFonts w:ascii="Times New Roman" w:hAnsi="Times New Roman"/>
          <w:b w:val="0"/>
          <w:bCs/>
          <w:i/>
          <w:iCs/>
          <w:sz w:val="22"/>
          <w:szCs w:val="22"/>
        </w:rPr>
        <w:t xml:space="preserve"> frequency</w:t>
      </w:r>
      <w:r w:rsidR="007C2C4F" w:rsidRPr="007C2C4F">
        <w:rPr>
          <w:rFonts w:ascii="Times New Roman" w:hAnsi="Times New Roman"/>
          <w:b w:val="0"/>
          <w:bCs/>
          <w:i/>
          <w:iCs/>
          <w:sz w:val="22"/>
          <w:szCs w:val="22"/>
        </w:rPr>
        <w:t xml:space="preserve">, and </w:t>
      </w:r>
      <w:r w:rsidR="00CA12A1" w:rsidRPr="00CA12A1">
        <w:rPr>
          <w:rFonts w:ascii="Times New Roman" w:hAnsi="Times New Roman"/>
          <w:b w:val="0"/>
          <w:bCs/>
          <w:i/>
          <w:iCs/>
          <w:sz w:val="22"/>
          <w:szCs w:val="22"/>
        </w:rPr>
        <w:t>interfacial area concentration</w:t>
      </w:r>
      <w:r w:rsidR="00645BD3">
        <w:rPr>
          <w:rFonts w:ascii="Times New Roman" w:hAnsi="Times New Roman"/>
          <w:b w:val="0"/>
          <w:bCs/>
          <w:i/>
          <w:iCs/>
          <w:sz w:val="22"/>
          <w:szCs w:val="22"/>
        </w:rPr>
        <w:t xml:space="preserve"> </w:t>
      </w:r>
      <w:r w:rsidR="007C2C4F" w:rsidRPr="007C2C4F">
        <w:rPr>
          <w:rFonts w:ascii="Times New Roman" w:hAnsi="Times New Roman"/>
          <w:b w:val="0"/>
          <w:bCs/>
          <w:i/>
          <w:iCs/>
          <w:sz w:val="22"/>
          <w:szCs w:val="22"/>
        </w:rPr>
        <w:t>were observed in the subchannels compared to those obtained in the gap between the rods at all conditions. However, no significant</w:t>
      </w:r>
      <w:r w:rsidR="004F34DD">
        <w:rPr>
          <w:rFonts w:ascii="Times New Roman" w:hAnsi="Times New Roman"/>
          <w:b w:val="0"/>
          <w:bCs/>
          <w:i/>
          <w:iCs/>
          <w:sz w:val="22"/>
          <w:szCs w:val="22"/>
        </w:rPr>
        <w:t xml:space="preserve"> </w:t>
      </w:r>
      <w:r w:rsidR="007C2C4F" w:rsidRPr="007C2C4F">
        <w:rPr>
          <w:rFonts w:ascii="Times New Roman" w:hAnsi="Times New Roman"/>
          <w:b w:val="0"/>
          <w:bCs/>
          <w:i/>
          <w:iCs/>
          <w:sz w:val="22"/>
          <w:szCs w:val="22"/>
        </w:rPr>
        <w:t>differences were observed for the bubble chord length and bubble velocity</w:t>
      </w:r>
      <w:r w:rsidR="006D0C33">
        <w:rPr>
          <w:rFonts w:ascii="Times New Roman" w:hAnsi="Times New Roman"/>
          <w:b w:val="0"/>
          <w:bCs/>
          <w:i/>
          <w:iCs/>
          <w:sz w:val="22"/>
          <w:szCs w:val="22"/>
        </w:rPr>
        <w:t xml:space="preserve"> at low </w:t>
      </w:r>
      <w:r w:rsidR="0052267C">
        <w:rPr>
          <w:rFonts w:ascii="Times New Roman" w:hAnsi="Times New Roman"/>
          <w:b w:val="0"/>
          <w:bCs/>
          <w:i/>
          <w:iCs/>
          <w:sz w:val="22"/>
          <w:szCs w:val="22"/>
        </w:rPr>
        <w:t>flow condition</w:t>
      </w:r>
      <w:r w:rsidR="007C2C4F" w:rsidRPr="007C2C4F">
        <w:rPr>
          <w:rFonts w:ascii="Times New Roman" w:hAnsi="Times New Roman"/>
          <w:b w:val="0"/>
          <w:bCs/>
          <w:i/>
          <w:iCs/>
          <w:sz w:val="22"/>
          <w:szCs w:val="22"/>
        </w:rPr>
        <w:t>. This study offers valuable insights into the behavior of</w:t>
      </w:r>
      <w:r w:rsidR="004F34DD">
        <w:rPr>
          <w:rFonts w:ascii="Times New Roman" w:hAnsi="Times New Roman"/>
          <w:b w:val="0"/>
          <w:bCs/>
          <w:i/>
          <w:iCs/>
          <w:sz w:val="22"/>
          <w:szCs w:val="22"/>
        </w:rPr>
        <w:t xml:space="preserve"> </w:t>
      </w:r>
      <w:r w:rsidR="007C2C4F" w:rsidRPr="007C2C4F">
        <w:rPr>
          <w:rFonts w:ascii="Times New Roman" w:hAnsi="Times New Roman"/>
          <w:b w:val="0"/>
          <w:bCs/>
          <w:i/>
          <w:iCs/>
          <w:sz w:val="22"/>
          <w:szCs w:val="22"/>
        </w:rPr>
        <w:t>air-water two-phase flow in rod bundles, which is critical to improving the safety and effectiveness of nuclear</w:t>
      </w:r>
      <w:r w:rsidR="004F34DD">
        <w:rPr>
          <w:rFonts w:ascii="Times New Roman" w:hAnsi="Times New Roman"/>
          <w:b w:val="0"/>
          <w:bCs/>
          <w:i/>
          <w:iCs/>
          <w:sz w:val="22"/>
          <w:szCs w:val="22"/>
        </w:rPr>
        <w:t xml:space="preserve"> </w:t>
      </w:r>
      <w:r w:rsidR="007C2C4F" w:rsidRPr="007C2C4F">
        <w:rPr>
          <w:rFonts w:ascii="Times New Roman" w:hAnsi="Times New Roman"/>
          <w:b w:val="0"/>
          <w:bCs/>
          <w:i/>
          <w:iCs/>
          <w:sz w:val="22"/>
          <w:szCs w:val="22"/>
        </w:rPr>
        <w:t>reactor design and operation</w:t>
      </w:r>
      <w:r w:rsidR="00F212F3" w:rsidRPr="00F212F3">
        <w:rPr>
          <w:rFonts w:ascii="Times New Roman" w:hAnsi="Times New Roman"/>
          <w:b w:val="0"/>
          <w:bCs/>
          <w:i/>
          <w:iCs/>
          <w:sz w:val="22"/>
          <w:szCs w:val="22"/>
        </w:rPr>
        <w:t>.</w:t>
      </w:r>
    </w:p>
    <w:p w14:paraId="0ED2895C" w14:textId="77777777" w:rsidR="00514AC8" w:rsidRPr="00BB7497" w:rsidRDefault="00514AC8" w:rsidP="00514AC8">
      <w:pPr>
        <w:pStyle w:val="Affiliation"/>
        <w:jc w:val="left"/>
        <w:rPr>
          <w:rFonts w:ascii="Times New Roman" w:hAnsi="Times New Roman"/>
          <w:b/>
          <w:bCs/>
          <w:sz w:val="22"/>
          <w:szCs w:val="22"/>
        </w:rPr>
      </w:pPr>
    </w:p>
    <w:p w14:paraId="11B06446" w14:textId="720AEEC2" w:rsidR="00514AC8" w:rsidRPr="00BB7497" w:rsidRDefault="00514AC8" w:rsidP="00514AC8">
      <w:pPr>
        <w:pStyle w:val="Affiliation"/>
        <w:ind w:firstLine="1080"/>
        <w:jc w:val="left"/>
        <w:rPr>
          <w:sz w:val="22"/>
          <w:szCs w:val="22"/>
        </w:rPr>
      </w:pPr>
      <w:r w:rsidRPr="00BB7497">
        <w:rPr>
          <w:rFonts w:ascii="Times New Roman" w:hAnsi="Times New Roman"/>
          <w:b/>
          <w:bCs/>
          <w:sz w:val="22"/>
          <w:szCs w:val="22"/>
        </w:rPr>
        <w:t xml:space="preserve">Keywords: </w:t>
      </w:r>
      <w:r w:rsidR="00A5282C">
        <w:rPr>
          <w:rFonts w:ascii="Times New Roman" w:hAnsi="Times New Roman"/>
          <w:sz w:val="22"/>
          <w:szCs w:val="22"/>
        </w:rPr>
        <w:t>B</w:t>
      </w:r>
      <w:r w:rsidR="00A5282C" w:rsidRPr="00A5282C">
        <w:rPr>
          <w:rFonts w:ascii="Times New Roman" w:hAnsi="Times New Roman"/>
          <w:sz w:val="22"/>
          <w:szCs w:val="22"/>
        </w:rPr>
        <w:t>ubble dynamics</w:t>
      </w:r>
      <w:r w:rsidRPr="00BB7497">
        <w:rPr>
          <w:rFonts w:ascii="Times New Roman" w:hAnsi="Times New Roman"/>
          <w:sz w:val="22"/>
          <w:szCs w:val="22"/>
        </w:rPr>
        <w:t xml:space="preserve">, </w:t>
      </w:r>
      <w:r w:rsidR="002871DD">
        <w:rPr>
          <w:rFonts w:ascii="Times New Roman" w:hAnsi="Times New Roman"/>
          <w:sz w:val="22"/>
          <w:szCs w:val="22"/>
        </w:rPr>
        <w:t>v</w:t>
      </w:r>
      <w:r w:rsidR="00A5282C">
        <w:rPr>
          <w:rFonts w:ascii="Times New Roman" w:hAnsi="Times New Roman"/>
          <w:sz w:val="22"/>
          <w:szCs w:val="22"/>
        </w:rPr>
        <w:t>oid fraction</w:t>
      </w:r>
      <w:r w:rsidRPr="00BB7497">
        <w:rPr>
          <w:rFonts w:ascii="Times New Roman" w:hAnsi="Times New Roman"/>
          <w:sz w:val="22"/>
          <w:szCs w:val="22"/>
        </w:rPr>
        <w:t xml:space="preserve">, </w:t>
      </w:r>
      <w:r w:rsidR="002871DD">
        <w:rPr>
          <w:rFonts w:ascii="Times New Roman" w:hAnsi="Times New Roman"/>
          <w:sz w:val="22"/>
          <w:szCs w:val="22"/>
        </w:rPr>
        <w:t>spacer grid, rod bundle</w:t>
      </w:r>
      <w:r w:rsidR="00B03844">
        <w:rPr>
          <w:rFonts w:ascii="Times New Roman" w:hAnsi="Times New Roman"/>
          <w:sz w:val="22"/>
          <w:szCs w:val="22"/>
        </w:rPr>
        <w:t>, PW</w:t>
      </w:r>
      <w:r w:rsidR="002E2169">
        <w:rPr>
          <w:rFonts w:ascii="Times New Roman" w:hAnsi="Times New Roman"/>
          <w:sz w:val="22"/>
          <w:szCs w:val="22"/>
        </w:rPr>
        <w:t>SM</w:t>
      </w:r>
      <w:r w:rsidR="00B03844">
        <w:rPr>
          <w:rFonts w:ascii="Times New Roman" w:hAnsi="Times New Roman"/>
          <w:sz w:val="22"/>
          <w:szCs w:val="22"/>
        </w:rPr>
        <w:t>R</w:t>
      </w:r>
      <w:r w:rsidR="00E96696">
        <w:rPr>
          <w:rFonts w:ascii="Times New Roman" w:hAnsi="Times New Roman"/>
          <w:sz w:val="22"/>
          <w:szCs w:val="22"/>
        </w:rPr>
        <w:t>, LOCA</w:t>
      </w:r>
    </w:p>
    <w:p w14:paraId="19D4BF22" w14:textId="3BF42B94" w:rsidR="00781B6A" w:rsidRDefault="00781B6A">
      <w:pPr>
        <w:pStyle w:val="Affiliation"/>
      </w:pPr>
    </w:p>
    <w:p w14:paraId="11B547DB" w14:textId="77777777" w:rsidR="00781B6A" w:rsidRDefault="00781B6A">
      <w:pPr>
        <w:pStyle w:val="Affiliation"/>
      </w:pPr>
    </w:p>
    <w:bookmarkEnd w:id="0"/>
    <w:p w14:paraId="7292617D" w14:textId="77777777" w:rsidR="00781B6A" w:rsidRPr="00BB7497" w:rsidRDefault="00781B6A">
      <w:pPr>
        <w:pStyle w:val="Header"/>
        <w:rPr>
          <w:sz w:val="22"/>
          <w:szCs w:val="22"/>
        </w:rPr>
        <w:sectPr w:rsidR="00781B6A" w:rsidRPr="00BB7497">
          <w:headerReference w:type="default" r:id="rId11"/>
          <w:footerReference w:type="default" r:id="rId12"/>
          <w:type w:val="continuous"/>
          <w:pgSz w:w="12240" w:h="15840"/>
          <w:pgMar w:top="1440" w:right="1080" w:bottom="1440" w:left="1080" w:header="432" w:footer="720" w:gutter="0"/>
          <w:cols w:space="720"/>
        </w:sectPr>
      </w:pPr>
    </w:p>
    <w:p w14:paraId="74B2FCCE" w14:textId="7E3F3D05" w:rsidR="00781B6A" w:rsidRPr="00BB7497" w:rsidRDefault="00781B6A" w:rsidP="00E93F48">
      <w:pPr>
        <w:pStyle w:val="AbstractClauseTitle"/>
        <w:jc w:val="left"/>
        <w:rPr>
          <w:rFonts w:ascii="Times New Roman" w:hAnsi="Times New Roman"/>
          <w:sz w:val="22"/>
          <w:szCs w:val="22"/>
        </w:rPr>
      </w:pPr>
      <w:r w:rsidRPr="00BB7497">
        <w:rPr>
          <w:rFonts w:ascii="Times New Roman" w:hAnsi="Times New Roman"/>
          <w:sz w:val="22"/>
          <w:szCs w:val="22"/>
        </w:rPr>
        <w:t xml:space="preserve">I. </w:t>
      </w:r>
      <w:r w:rsidR="00E93F48" w:rsidRPr="00BB7497">
        <w:rPr>
          <w:rFonts w:ascii="Times New Roman" w:hAnsi="Times New Roman"/>
          <w:caps w:val="0"/>
          <w:sz w:val="22"/>
          <w:szCs w:val="22"/>
        </w:rPr>
        <w:t>Introduction</w:t>
      </w:r>
    </w:p>
    <w:p w14:paraId="5E5BAEAD" w14:textId="77777777" w:rsidR="00555C3B" w:rsidRDefault="00555C3B" w:rsidP="00E94216">
      <w:pPr>
        <w:pStyle w:val="BodyTextIndent"/>
        <w:ind w:firstLine="0"/>
        <w:rPr>
          <w:sz w:val="22"/>
          <w:szCs w:val="22"/>
        </w:rPr>
      </w:pPr>
    </w:p>
    <w:p w14:paraId="28417E26" w14:textId="39A7BCF1" w:rsidR="004641C3" w:rsidRPr="004641C3" w:rsidRDefault="004641C3" w:rsidP="00AB6070">
      <w:pPr>
        <w:pStyle w:val="BodyTextIndent"/>
        <w:rPr>
          <w:sz w:val="22"/>
          <w:szCs w:val="22"/>
        </w:rPr>
      </w:pPr>
      <w:r w:rsidRPr="004641C3">
        <w:rPr>
          <w:sz w:val="22"/>
          <w:szCs w:val="22"/>
        </w:rPr>
        <w:t xml:space="preserve">Recently, interest in </w:t>
      </w:r>
      <w:r w:rsidR="00CF5C13">
        <w:rPr>
          <w:sz w:val="22"/>
          <w:szCs w:val="22"/>
        </w:rPr>
        <w:t>S</w:t>
      </w:r>
      <w:r w:rsidRPr="004641C3">
        <w:rPr>
          <w:sz w:val="22"/>
          <w:szCs w:val="22"/>
        </w:rPr>
        <w:t xml:space="preserve">mall </w:t>
      </w:r>
      <w:r w:rsidR="00CF5C13">
        <w:rPr>
          <w:sz w:val="22"/>
          <w:szCs w:val="22"/>
        </w:rPr>
        <w:t>M</w:t>
      </w:r>
      <w:r w:rsidRPr="004641C3">
        <w:rPr>
          <w:sz w:val="22"/>
          <w:szCs w:val="22"/>
        </w:rPr>
        <w:t xml:space="preserve">odular </w:t>
      </w:r>
      <w:r w:rsidR="00CF5C13">
        <w:rPr>
          <w:sz w:val="22"/>
          <w:szCs w:val="22"/>
        </w:rPr>
        <w:t>R</w:t>
      </w:r>
      <w:r w:rsidRPr="004641C3">
        <w:rPr>
          <w:sz w:val="22"/>
          <w:szCs w:val="22"/>
        </w:rPr>
        <w:t>eactors (SMRs) has grown globally. SMRs offer an alternative source of energy that is less harmful to the environment as a result of their low carbon emissions. After several severe nuclear accidents, the need for advanced safety systems in nuclear power plants became necessary. For that reason, SMRs provide a standardized, flexible, economical cost energy alternative</w:t>
      </w:r>
      <w:r w:rsidR="00683B25">
        <w:rPr>
          <w:rStyle w:val="FootnoteReference"/>
          <w:sz w:val="22"/>
          <w:szCs w:val="22"/>
        </w:rPr>
        <w:fldChar w:fldCharType="begin" w:fldLock="1"/>
      </w:r>
      <w:r w:rsidR="00E0731D">
        <w:rPr>
          <w:sz w:val="22"/>
          <w:szCs w:val="22"/>
        </w:rPr>
        <w:instrText>ADDIN CSL_CITATION {"citationItems":[{"id":"ITEM-1","itemData":{"DOI":"10.1016/j.energy.2012.01.078","ISSN":"03605442","abstract":"Nuclear energy can play a very significant long-term role for meeting the world's increasing energy demands, while simultaneously addressing challenges associated with global climate and environmental impact. Many nations of the world, particularly the Asia/Pacific Rim countries, are actively engaged in a major expansion of their nuclear energy complex. The degree to which nuclear energy can address long-term energy needs, either globally or regionally, will be dictated by the pace and adequacy of technical and policy solutions for waste, safety, security, and non-proliferation issues, as well as the capital cost of construction. Small Modular Reactors (SMRs) could successfully address several of these issues. SMRs offer simpler, standardized, and safer modular design by being factory built, requiring smaller initial capital investment, and having shorter construction times. The SMRs could be small enough to be transportable, could be used in isolated locations without advanced infrastructure and without power grid, or could be clustered in a single site to provide a multi-module, large capacity power plant. This paper summarizes some of the basic features of SMRs for early deployment, several advanced SMR concepts, and points out the benefits and challenges in regulatory, economical, safety and security issues. © 2012 Elsevier Ltd.","author":[{"dropping-particle":"","family":"Vujić","given":"Jasmina","non-dropping-particle":"","parse-names":false,"suffix":""},{"dropping-particle":"","family":"Bergmann","given":"Ryan M.","non-dropping-particle":"","parse-names":false,"suffix":""},{"dropping-particle":"","family":"Škoda","given":"Radek","non-dropping-particle":"","parse-names":false,"suffix":""},{"dropping-particle":"","family":"Miletić","given":"Marija","non-dropping-particle":"","parse-names":false,"suffix":""}],"container-title":"Energy","id":"ITEM-1","issue":"1","issued":{"date-parts":[["2012"]]},"page":"288-295","title":"Small modular reactors: Simpler, safer, cheaper?","type":"article-journal","volume":"45"},"uris":["http://www.mendeley.com/documents/?uuid=14ef70e1-fd11-4f40-beea-f8c28dd5617a"]}],"mendeley":{"formattedCitation":"[1]","plainTextFormattedCitation":"[1]","previouslyFormattedCitation":"[1]"},"properties":{"noteIndex":0},"schema":"https://github.com/citation-style-language/schema/raw/master/csl-citation.json"}</w:instrText>
      </w:r>
      <w:r w:rsidR="00683B25">
        <w:rPr>
          <w:rStyle w:val="FootnoteReference"/>
          <w:sz w:val="22"/>
          <w:szCs w:val="22"/>
        </w:rPr>
        <w:fldChar w:fldCharType="separate"/>
      </w:r>
      <w:r w:rsidR="00683B25" w:rsidRPr="00683B25">
        <w:rPr>
          <w:bCs/>
          <w:noProof/>
          <w:sz w:val="22"/>
          <w:szCs w:val="22"/>
        </w:rPr>
        <w:t>[1]</w:t>
      </w:r>
      <w:r w:rsidR="00683B25">
        <w:rPr>
          <w:rStyle w:val="FootnoteReference"/>
          <w:sz w:val="22"/>
          <w:szCs w:val="22"/>
        </w:rPr>
        <w:fldChar w:fldCharType="end"/>
      </w:r>
      <w:r w:rsidRPr="004641C3">
        <w:rPr>
          <w:sz w:val="22"/>
          <w:szCs w:val="22"/>
        </w:rPr>
        <w:t>.</w:t>
      </w:r>
      <w:r w:rsidR="001A144E">
        <w:rPr>
          <w:sz w:val="22"/>
          <w:szCs w:val="22"/>
        </w:rPr>
        <w:t xml:space="preserve"> </w:t>
      </w:r>
      <w:r w:rsidRPr="004641C3">
        <w:rPr>
          <w:sz w:val="22"/>
          <w:szCs w:val="22"/>
        </w:rPr>
        <w:t xml:space="preserve">Since there are several different features for SMRs, one of the important features in SMRs is the passive safety system which is designed to remove the heat produced by the </w:t>
      </w:r>
      <w:r w:rsidR="005330FF" w:rsidRPr="004641C3">
        <w:rPr>
          <w:sz w:val="22"/>
          <w:szCs w:val="22"/>
        </w:rPr>
        <w:t>reactor</w:t>
      </w:r>
      <w:r w:rsidRPr="004641C3">
        <w:rPr>
          <w:sz w:val="22"/>
          <w:szCs w:val="22"/>
        </w:rPr>
        <w:t xml:space="preserve"> core even in conditions of flow instability. </w:t>
      </w:r>
      <w:r w:rsidR="007B49F8" w:rsidRPr="001A144E">
        <w:rPr>
          <w:sz w:val="22"/>
          <w:szCs w:val="22"/>
        </w:rPr>
        <w:t xml:space="preserve">The International Atomic Energy Agency (IAEA) identifies SMRs as reactors </w:t>
      </w:r>
      <w:r w:rsidR="00BE23D9">
        <w:rPr>
          <w:sz w:val="22"/>
          <w:szCs w:val="22"/>
        </w:rPr>
        <w:t xml:space="preserve">that </w:t>
      </w:r>
      <w:r w:rsidR="007B49F8">
        <w:rPr>
          <w:sz w:val="22"/>
          <w:szCs w:val="22"/>
        </w:rPr>
        <w:t>produce less than or equal</w:t>
      </w:r>
      <w:r w:rsidR="007B49F8" w:rsidRPr="001A144E">
        <w:rPr>
          <w:sz w:val="22"/>
          <w:szCs w:val="22"/>
        </w:rPr>
        <w:t xml:space="preserve"> 300 M</w:t>
      </w:r>
      <w:r w:rsidR="000C3436">
        <w:rPr>
          <w:sz w:val="22"/>
          <w:szCs w:val="22"/>
        </w:rPr>
        <w:t>w</w:t>
      </w:r>
      <w:r w:rsidR="007B49F8" w:rsidRPr="001A144E">
        <w:rPr>
          <w:sz w:val="22"/>
          <w:szCs w:val="22"/>
        </w:rPr>
        <w:t>e</w:t>
      </w:r>
      <w:r w:rsidR="000C3436">
        <w:rPr>
          <w:sz w:val="22"/>
          <w:szCs w:val="22"/>
        </w:rPr>
        <w:t xml:space="preserve"> </w:t>
      </w:r>
      <w:r w:rsidR="000C3436">
        <w:rPr>
          <w:sz w:val="22"/>
          <w:szCs w:val="22"/>
        </w:rPr>
        <w:fldChar w:fldCharType="begin" w:fldLock="1"/>
      </w:r>
      <w:r w:rsidR="007001C8">
        <w:rPr>
          <w:sz w:val="22"/>
          <w:szCs w:val="22"/>
        </w:rPr>
        <w:instrText>ADDIN CSL_CITATION {"citationItems":[{"id":"ITEM-1","itemData":{"author":[{"dropping-particle":"","family":"Atomic","given":"International","non-dropping-particle":"","parse-names":false,"suffix":""},{"dropping-particle":"","family":"Agency","given":"Energy","non-dropping-particle":"","parse-names":false,"suffix":""}],"container-title":"IAEA Nuclear Energy Series","id":"ITEM-1","issue":"5445645","issued":{"date-parts":[["1995"]]},"page":"45","title":"Design and development status of small and medium reactor systems 1995","type":"article-journal","volume":"3"},"uris":["http://www.mendeley.com/documents/?uuid=bd1bb003-52ca-4049-a403-37d11b6fe268"]}],"mendeley":{"formattedCitation":"[2]","plainTextFormattedCitation":"[2]","previouslyFormattedCitation":"[2]"},"properties":{"noteIndex":0},"schema":"https://github.com/citation-style-language/schema/raw/master/csl-citation.json"}</w:instrText>
      </w:r>
      <w:r w:rsidR="000C3436">
        <w:rPr>
          <w:sz w:val="22"/>
          <w:szCs w:val="22"/>
        </w:rPr>
        <w:fldChar w:fldCharType="separate"/>
      </w:r>
      <w:r w:rsidR="000C3436" w:rsidRPr="000C3436">
        <w:rPr>
          <w:noProof/>
          <w:sz w:val="22"/>
          <w:szCs w:val="22"/>
        </w:rPr>
        <w:t>[2]</w:t>
      </w:r>
      <w:r w:rsidR="000C3436">
        <w:rPr>
          <w:sz w:val="22"/>
          <w:szCs w:val="22"/>
        </w:rPr>
        <w:fldChar w:fldCharType="end"/>
      </w:r>
      <w:r w:rsidR="007B49F8">
        <w:rPr>
          <w:sz w:val="22"/>
          <w:szCs w:val="22"/>
        </w:rPr>
        <w:t>.</w:t>
      </w:r>
      <w:r w:rsidR="00AB6070">
        <w:rPr>
          <w:sz w:val="22"/>
          <w:szCs w:val="22"/>
        </w:rPr>
        <w:t xml:space="preserve"> </w:t>
      </w:r>
      <w:r w:rsidRPr="004641C3">
        <w:rPr>
          <w:sz w:val="22"/>
          <w:szCs w:val="22"/>
        </w:rPr>
        <w:t xml:space="preserve">In a normal operation of SMRs, the water works as coolant and neutron moderator. However, if the temperature inside </w:t>
      </w:r>
      <w:r w:rsidRPr="004641C3">
        <w:rPr>
          <w:sz w:val="22"/>
          <w:szCs w:val="22"/>
        </w:rPr>
        <w:t>the reactor core becomes too high or in a Loss of Coolant Accident (LOCA)</w:t>
      </w:r>
      <w:r w:rsidR="00A346F8">
        <w:rPr>
          <w:sz w:val="22"/>
          <w:szCs w:val="22"/>
        </w:rPr>
        <w:t xml:space="preserve"> conditions</w:t>
      </w:r>
      <w:r w:rsidRPr="004641C3">
        <w:rPr>
          <w:sz w:val="22"/>
          <w:szCs w:val="22"/>
        </w:rPr>
        <w:t xml:space="preserve">, the coolant that is in physical contact with the bundles of fuel rods will evaporate around the rods. As a result of this occurrence, the flow changes from a single-phase to a two-phase flow relatively. The fuel rod bundles are susceptible to damage or melted down due to overheating, which is indicated by the critical heat flux condition (CHF). Understanding the </w:t>
      </w:r>
      <w:r w:rsidR="00B4285D">
        <w:rPr>
          <w:sz w:val="22"/>
          <w:szCs w:val="22"/>
        </w:rPr>
        <w:t>hydrodyn</w:t>
      </w:r>
      <w:r w:rsidR="00137AAE">
        <w:rPr>
          <w:sz w:val="22"/>
          <w:szCs w:val="22"/>
        </w:rPr>
        <w:t>amics</w:t>
      </w:r>
      <w:r w:rsidR="00B4285D">
        <w:rPr>
          <w:sz w:val="22"/>
          <w:szCs w:val="22"/>
        </w:rPr>
        <w:t xml:space="preserve"> and </w:t>
      </w:r>
      <w:r w:rsidRPr="004641C3">
        <w:rPr>
          <w:sz w:val="22"/>
          <w:szCs w:val="22"/>
        </w:rPr>
        <w:t>bubble characteristics such as void fraction, bubble chord length, interfacial area concentration (IAC), bubble velocity plays a significant role in rod bundle to predict the two-phase flow behavior</w:t>
      </w:r>
      <w:r w:rsidR="001F0F43">
        <w:rPr>
          <w:sz w:val="22"/>
          <w:szCs w:val="22"/>
        </w:rPr>
        <w:t>.</w:t>
      </w:r>
    </w:p>
    <w:p w14:paraId="1CB7ECF0" w14:textId="14A1AC8A" w:rsidR="00317368" w:rsidRDefault="004641C3" w:rsidP="00317368">
      <w:pPr>
        <w:pStyle w:val="BodyTextIndent"/>
        <w:rPr>
          <w:sz w:val="22"/>
          <w:szCs w:val="22"/>
        </w:rPr>
      </w:pPr>
      <w:r w:rsidRPr="004641C3">
        <w:rPr>
          <w:sz w:val="22"/>
          <w:szCs w:val="22"/>
        </w:rPr>
        <w:t>Over the past few decades, several experimental studies have utilized several types of</w:t>
      </w:r>
      <w:r w:rsidR="004F266C">
        <w:rPr>
          <w:sz w:val="22"/>
          <w:szCs w:val="22"/>
        </w:rPr>
        <w:t xml:space="preserve"> </w:t>
      </w:r>
      <w:r w:rsidR="005731FE">
        <w:rPr>
          <w:sz w:val="22"/>
          <w:szCs w:val="22"/>
        </w:rPr>
        <w:t>two-phase</w:t>
      </w:r>
      <w:r w:rsidRPr="004641C3">
        <w:rPr>
          <w:sz w:val="22"/>
          <w:szCs w:val="22"/>
        </w:rPr>
        <w:t xml:space="preserve"> measurements </w:t>
      </w:r>
      <w:r w:rsidR="00523DD3">
        <w:rPr>
          <w:sz w:val="22"/>
          <w:szCs w:val="22"/>
        </w:rPr>
        <w:t>technique</w:t>
      </w:r>
      <w:r w:rsidRPr="004641C3">
        <w:rPr>
          <w:sz w:val="22"/>
          <w:szCs w:val="22"/>
        </w:rPr>
        <w:t>s</w:t>
      </w:r>
      <w:r w:rsidR="006B0076">
        <w:rPr>
          <w:sz w:val="22"/>
          <w:szCs w:val="22"/>
        </w:rPr>
        <w:t xml:space="preserve">, </w:t>
      </w:r>
      <w:r w:rsidR="009F65D3">
        <w:rPr>
          <w:sz w:val="22"/>
          <w:szCs w:val="22"/>
        </w:rPr>
        <w:t xml:space="preserve">electrical </w:t>
      </w:r>
      <w:r w:rsidR="006B0076">
        <w:rPr>
          <w:sz w:val="22"/>
          <w:szCs w:val="22"/>
        </w:rPr>
        <w:t>conductivity</w:t>
      </w:r>
      <w:r w:rsidR="002865AB">
        <w:rPr>
          <w:sz w:val="22"/>
          <w:szCs w:val="22"/>
        </w:rPr>
        <w:t xml:space="preserve"> prob</w:t>
      </w:r>
      <w:r w:rsidR="00AA3AB1">
        <w:rPr>
          <w:sz w:val="22"/>
          <w:szCs w:val="22"/>
        </w:rPr>
        <w:t xml:space="preserve">e </w:t>
      </w:r>
      <w:r w:rsidR="007519B9">
        <w:rPr>
          <w:sz w:val="22"/>
          <w:szCs w:val="22"/>
        </w:rPr>
        <w:t xml:space="preserve"> </w:t>
      </w:r>
      <w:r w:rsidR="00683B25" w:rsidRPr="004F558D">
        <w:fldChar w:fldCharType="begin" w:fldLock="1"/>
      </w:r>
      <w:r w:rsidR="007001C8">
        <w:rPr>
          <w:sz w:val="22"/>
          <w:szCs w:val="22"/>
        </w:rPr>
        <w:instrText>ADDIN CSL_CITATION {"citationItems":[{"id":"ITEM-1","itemData":{"DOI":"10.1016/j.nucengdes.2016.10.037","ISSN":"00295493","abstract":"In the two-fluid model, it is important to give an accurate prediction for the interfacial area concentration. In order to achieve this goal, the interfacial area transport equation has been developed. This study focuses on the benchmark of IATE performance in a rod bundle geometry. A set of interfacial area concentration source and sink term models are proposed for a rod bundle geometry based on the confined channel IATE model. This model was selected as a basis because of the relative similarity of the two geometries. Benchmarking of the new model with interfacial area concentration data in an 8×8 rod bundle test section which has been scaled from an actual BWR fuel bundle is performed. The model shows good agreement in bubbly and cap-bubbly flows, which are similar in many types of geometries, while it shows some discrepancy in churn-turbulent flow regime. This discrepancy may be due to the geometrical differences between the actual rod bundle test facility and the facility used to collect the data which benchmarked the original source and sink models.","author":[{"dropping-particle":"","family":"Yang","given":"X.","non-dropping-particle":"","parse-names":false,"suffix":""},{"dropping-particle":"","family":"Schlegel","given":"J. P.","non-dropping-particle":"","parse-names":false,"suffix":""},{"dropping-particle":"","family":"Liu","given":"Y.","non-dropping-particle":"","parse-names":false,"suffix":""},{"dropping-particle":"","family":"Paranjape","given":"S.","non-dropping-particle":"","parse-names":false,"suffix":""},{"dropping-particle":"","family":"Hibiki","given":"T.","non-dropping-particle":"","parse-names":false,"suffix":""},{"dropping-particle":"","family":"Ishii","given":"M.","non-dropping-particle":"","parse-names":false,"suffix":""},{"dropping-particle":"","family":"Bajorek","given":"S.","non-dropping-particle":"","parse-names":false,"suffix":""},{"dropping-particle":"","family":"Ireland","given":"A.","non-dropping-particle":"","parse-names":false,"suffix":""}],"container-title":"Nuclear Engineering and Design","id":"ITEM-1","issue":"2016","issued":{"date-parts":[["2016"]]},"page":"638-647","publisher":"Elsevier B.V.","title":"Prediction of interfacial area transport in a scaled 8×8 BWR rod bundle","type":"article-journal","volume":"310"},"uris":["http://www.mendeley.com/documents/?uuid=c3aeda82-ecbb-4f58-9380-54f7e82fa4fb"]},{"id":"ITEM-2","itemData":{"DOI":"10.1016/j.ijheatmasstransfer.2017.01.040","ISSN":"00179310","abstract":"An adiabatic upward air-water flow experiment was performed on a vertical pipe with 25.4 mm inner diameter to investigate the interface structure and characteristics. Local experiment parameters, including time-averaged void fraction, interfacial area concentration, bubble interfacial velocity and Sauter mean diameter were measured using a four-sensor conductivity probe with a data acquisition frequency of 100 kHz. Experiment data for 19 flow conditions was collected at 3 axial locations (z/D = 15, 78, and 141) and 13 radial positions from r/R = −0.84 to 0.7. In the experimental study, the measuring range of superficial liquid and gas velocity were from 0.3 to 1.0 m/s and 0.03 to 11.0 m/s, respectively. The flow regimes ranged from bubbly flow to the transition of churn-turbulent to annular flow. The local measurement result agreed well with the drift flux model by Ishii (1977) and Kataoka (1987). The different interfacial structures in different flow regimes and two group bubble interfacial transfer were observed from the experiment result. This data will be used for the evaluation and extension of the current interfacial area transport equation.","author":[{"dropping-particle":"","family":"Dang","given":"Zhuoran","non-dropping-particle":"","parse-names":false,"suffix":""},{"dropping-particle":"","family":"Wang","given":"Guanyi","non-dropping-particle":"","parse-names":false,"suffix":""},{"dropping-particle":"","family":"Ju","given":"Peng","non-dropping-particle":"","parse-names":false,"suffix":""},{"dropping-particle":"","family":"Yang","given":"Xiaohong","non-dropping-particle":"","parse-names":false,"suffix":""},{"dropping-particle":"","family":"Bean","given":"Robert","non-dropping-particle":"","parse-names":false,"suffix":""},{"dropping-particle":"","family":"Ishii","given":"Mamoru","non-dropping-particle":"","parse-names":false,"suffix":""},{"dropping-particle":"","family":"Bajorek","given":"Stephen","non-dropping-particle":"","parse-names":false,"suffix":""},{"dropping-particle":"","family":"Bernard","given":"Matthew","non-dropping-particle":"","parse-names":false,"suffix":""}],"container-title":"International Journal of Heat and Mass Transfer","id":"ITEM-2","issued":{"date-parts":[["2017"]]},"page":"1825-1838","title":"Experimental study of interfacial characteristics of vertical upward air-water two-phase flow in 25.4 mm ID round pipe","type":"article","volume":"108"},"uris":["http://www.mendeley.com/documents/?uuid=f649e3f2-11c4-48fd-b702-3b2c1e5d0b96"]},{"id":"ITEM-3","itemData":{"DOI":"10.1080/00223131.2013.862189","ISSN":"00223131","abstract":"Lack of local void fraction data in a rod bundle makes it difficult to validate a numerical method for predicting gas-liquid two-phase flow in the bundle. Distributions of local void fraction and bubble velocity in each subchannel in a 4×4 rod bundle were, therefore, measured using a double-sensor conductivity probe. Liquid velocity in the subchannel was also measured using laser Doppler velocimetry (LDV) to obtain relative velocity between bubbles and the liquid phase. The size and pitch of rods were 10 and 12.5 mm, respectively. Air and water at atmospheric pressure and room temperature were used for the gas and liquid phases, respectively. The volume fluxes of gas and liquid phases ranged from 0.06 to 0.15 m/s and from 0.9 to 1.5 m/s, respectively. Experimental results showed that the distributions of void fraction in inner and side subchannels depend not only on lift force acting on bubbles but also on geometrical constraints on bubble dynamics, i.e. the effects of rod walls on bubble shape and rise velocity. The relative velocity between bubbles and the liquid phase in the subchannel forms a non-uniform distribution over the cross-section, and the relative velocity becomes smaller as bubbles approach the wall due to the wall effects. © 2013 Atomic Energy Society of Japan.","author":[{"dropping-particle":"","family":"Hosokawa","given":"Shigeo","non-dropping-particle":"","parse-names":false,"suffix":""},{"dropping-particle":"","family":"Hayashi","given":"Kosuke","non-dropping-particle":"","parse-names":false,"suffix":""},{"dropping-particle":"","family":"Tomiyama","given":"Akio","non-dropping-particle":"","parse-names":false,"suffix":""}],"container-title":"Journal of Nuclear Science and Technology","id":"ITEM-3","issue":"2","issued":{"date-parts":[["2014"]]},"page":"220-230","publisher":"Taylor &amp; Francis","title":"Void distribution and bubble motion in bubbly flows in a 4×4 rod bundle. Part I: Experiments","type":"article-journal","volume":"51"},"uris":["http://www.mendeley.com/documents/?uuid=331df3ae-8367-4de9-9c04-19481eb58c20"]},{"id":"ITEM-4","itemData":{"DOI":"10.1016/j.ijheatfluidflow.2020.108623","ISSN":"0142727X","abstract":"In this study, the vertical upward air–water two-phase flow tests have been carried out to investigate the distribution of local and global void fractions in a rod bundle channel under low-flow conditions. The height of the rod bundle channel is about 5 m, and the channel cross section is comprised of a 52 × 52 mm rectangular casing and 3 × 3 circular rods. The rods with a diameter of 11.5 mm and a pitch of 15.4 mm were set as a rectangular array. Four sets of non-intrusive conductivity sensors were built to measure the local and global void fractions of various gaps within the rod bundle channel. The tests were operated at low flow conditions: jg= 0.016–0.92 m/s and jf = 0.02–0.05 m/s, which covered the possible flow regimes of bubbly, cap-bubbly and cap-turbulent flows. The measured global void fraction were benchmarked with existing one-dimensional drift-flux model, and the local void fractions have been summed up by regions and compared with the global void fraction for validation. The dynamic characteristics of local/global void fractions have been analyzed with probability density function (PDF) and fast Fourier transform (FFT), and the distributions and variations of averaged void fraction against test conditions have been presented. Furthermore, the empirical correlations for estimating the local void fractions have been proposed, which can successfully estimate the local void distribution from global void fraction with limited errors. The present results and correlations can be a reference for future development and modification of detailed two-phase flow models in the rod bundle geometry.","author":[{"dropping-particle":"","family":"Chen","given":"Shao Wen","non-dropping-particle":"","parse-names":false,"suffix":""},{"dropping-particle":"","family":"Ruan","given":"Pei Syuan","non-dropping-particle":"","parse-names":false,"suffix":""},{"dropping-particle":"","family":"Lin","given":"Min Song","non-dropping-particle":"","parse-names":false,"suffix":""},{"dropping-particle":"","family":"Yu","given":"Ya Chi","non-dropping-particle":"","parse-names":false,"suffix":""},{"dropping-particle":"Der","family":"Lee","given":"Jin","non-dropping-particle":"","parse-names":false,"suffix":""},{"dropping-particle":"","family":"Yang","given":"Jung Hua","non-dropping-particle":"","parse-names":false,"suffix":""},{"dropping-particle":"","family":"Lin","given":"Hao Tzu","non-dropping-particle":"","parse-names":false,"suffix":""},{"dropping-particle":"","family":"Wang","given":"Jong Rong","non-dropping-particle":"","parse-names":false,"suffix":""},{"dropping-particle":"","family":"Pei","given":"Bau Shei","non-dropping-particle":"","parse-names":false,"suffix":""}],"container-title":"International Journal of Heat and Fluid Flow","id":"ITEM-4","issue":"July","issued":{"date-parts":[["2020"]]},"page":"108623","publisher":"Elsevier","title":"Experimental investigation on local/global void distribution of air-water two-phase flow in a 3 × 3 rod bundle channel under low-flow conditions","type":"article-journal","volume":"85"},"uris":["http://www.mendeley.com/documents/?uuid=c21cd1dc-9c37-4868-a462-6bf5aa9b7342"]}],"mendeley":{"formattedCitation":"[3]–[6]","plainTextFormattedCitation":"[3]–[6]","previouslyFormattedCitation":"[3]–[6]"},"properties":{"noteIndex":0},"schema":"https://github.com/citation-style-language/schema/raw/master/csl-citation.json"}</w:instrText>
      </w:r>
      <w:r w:rsidR="00683B25" w:rsidRPr="004F558D">
        <w:fldChar w:fldCharType="separate"/>
      </w:r>
      <w:r w:rsidR="000C3436" w:rsidRPr="000C3436">
        <w:rPr>
          <w:noProof/>
          <w:sz w:val="22"/>
          <w:szCs w:val="22"/>
        </w:rPr>
        <w:t>[3]–[6]</w:t>
      </w:r>
      <w:r w:rsidR="00683B25" w:rsidRPr="004F558D">
        <w:fldChar w:fldCharType="end"/>
      </w:r>
      <w:r w:rsidR="006B0076">
        <w:rPr>
          <w:sz w:val="22"/>
          <w:szCs w:val="22"/>
        </w:rPr>
        <w:t xml:space="preserve"> </w:t>
      </w:r>
      <w:r w:rsidR="007E3781">
        <w:rPr>
          <w:sz w:val="22"/>
          <w:szCs w:val="22"/>
        </w:rPr>
        <w:t>,</w:t>
      </w:r>
      <w:r w:rsidR="007001C8">
        <w:rPr>
          <w:sz w:val="22"/>
          <w:szCs w:val="22"/>
        </w:rPr>
        <w:t xml:space="preserve"> wire mesh sensors </w:t>
      </w:r>
      <w:r w:rsidR="007001C8">
        <w:rPr>
          <w:sz w:val="22"/>
          <w:szCs w:val="22"/>
        </w:rPr>
        <w:fldChar w:fldCharType="begin" w:fldLock="1"/>
      </w:r>
      <w:r w:rsidR="004A2DCA">
        <w:rPr>
          <w:sz w:val="22"/>
          <w:szCs w:val="22"/>
        </w:rPr>
        <w:instrText xml:space="preserve">ADDIN CSL_CITATION {"citationItems":[{"id":"ITEM-1","itemData":{"DOI":"10.1016/j.ijheatmasstransfer.2021.121079","ISSN":"00179310","abstract":"Tight lattice fuel assemblies have significant advantages in power density and conversion ratios. However, the dynamic characteristics of two-phase flow in tight lattice bundles, which is very important to safety analysis, are still not clarified. This study presents an experimental investigation of two-phase flow evolution in a double sub-channels tight lattice bundle. The experimental channel was up-scaled (1:2.7) compared with the prototype fuel. Phase distributions at four different axial positions, z/Dh = 28.95, 57.90, 86.86, and 115.8, are measured with a high spatiotemporal resolution by a 16 × 32 wire-mesh sensor. The flow regime includes bubbly flow, cap-bubbly flow, and slug flow. In the bubbly flow, the large-scale pulsations across the gap of two sub-channels were observed, as same as the single-phase flow in a tight lattice bundle. The time-averaged void fraction shows a gap region peak in bubbly flow. In the cap-bubbly flow, the cap bubbles are confined to a single sub-channel due to the small gap. The cap bubbles are alternated arrangements in the two sub-channels and the large-scale pulsations across the gap are caused due to this special flow configuration. The time-averaged void fraction shows a core peak profile in a cap-bubbly flow. In the slug flow, the slug bubbles can across the small gap to span the two sub-channels and the time-averaged void fraction shows a core peak profile. Even though the time-averaged void fraction almost coincides at different axial positions, the phase interface structure shows a significantly different according to the virtual side view of void fraction. The accuracy of the drift-flux models has been evaluated with the experimental data. The Bestion's model underestimated the void fraction in the channel while the Chexal's model overestimated it. Clark's model gets the best prediction with an error of 10.1%.","author":[{"dropping-particle":"","family":"Zhang","given":"Hengwei","non-dropping-particle":"","parse-names":false,"suffix":""},{"dropping-particle":"","family":"Xiao","given":"Yao","non-dropping-particle":"","parse-names":false,"suffix":""},{"dropping-particle":"","family":"Gu","given":"Hanyang","non-dropping-particle":"","parse-names":false,"suffix":""}],"container-title":"International Journal of Heat and Mass Transfer","id":"ITEM-1","issued":{"date-parts":[["2021"]]},"page":"121079","publisher":"Elsevier Ltd","title":"Experimental investigation of two-phase flow evolution in a tight lattice bundle using wire-mesh sensor","type":"article-journal","volume":"171"},"uris":["http://www.mendeley.com/documents/?uuid=90d4e0e4-08db-42e6-ae34-b138e5be0df7"]},{"id":"ITEM-2","itemData":{"DOI":"10.1016/j.anucene.2022.109022","ISSN":"18732100","abstract":"In this paper, the wire-mesh sensor (WMS) has been successfully introduced into a typical pressurized water reactor (PWR) prototype 5 × 5 rod bundle channel. Combined </w:instrText>
      </w:r>
      <w:r w:rsidR="004A2DCA">
        <w:rPr>
          <w:rFonts w:hint="eastAsia"/>
          <w:sz w:val="22"/>
          <w:szCs w:val="22"/>
        </w:rPr>
        <w:instrText>with the high-speed camera, the typical flow patterns and phase distribution of air</w:instrText>
      </w:r>
      <w:r w:rsidR="004A2DCA">
        <w:rPr>
          <w:rFonts w:hint="eastAsia"/>
          <w:sz w:val="22"/>
          <w:szCs w:val="22"/>
        </w:rPr>
        <w:instrText>–</w:instrText>
      </w:r>
      <w:r w:rsidR="004A2DCA">
        <w:rPr>
          <w:rFonts w:hint="eastAsia"/>
          <w:sz w:val="22"/>
          <w:szCs w:val="22"/>
        </w:rPr>
        <w:instrText xml:space="preserve">water two-phase flow in the rod bundles are experimentally studied. The gas superficial velocity is 0.020 </w:instrText>
      </w:r>
      <w:r w:rsidR="004A2DCA">
        <w:rPr>
          <w:rFonts w:hint="eastAsia"/>
          <w:sz w:val="22"/>
          <w:szCs w:val="22"/>
        </w:rPr>
        <w:instrText>∼</w:instrText>
      </w:r>
      <w:r w:rsidR="004A2DCA">
        <w:rPr>
          <w:rFonts w:hint="eastAsia"/>
          <w:sz w:val="22"/>
          <w:szCs w:val="22"/>
        </w:rPr>
        <w:instrText xml:space="preserve"> 1.102 m/s and liquid superficial velocity is 0.041 </w:instrText>
      </w:r>
      <w:r w:rsidR="004A2DCA">
        <w:rPr>
          <w:rFonts w:hint="eastAsia"/>
          <w:sz w:val="22"/>
          <w:szCs w:val="22"/>
        </w:rPr>
        <w:instrText>∼</w:instrText>
      </w:r>
      <w:r w:rsidR="004A2DCA">
        <w:rPr>
          <w:rFonts w:hint="eastAsia"/>
          <w:sz w:val="22"/>
          <w:szCs w:val="22"/>
        </w:rPr>
        <w:instrText xml:space="preserve"> 1.604 m/s.</w:instrText>
      </w:r>
      <w:r w:rsidR="004A2DCA">
        <w:rPr>
          <w:sz w:val="22"/>
          <w:szCs w:val="22"/>
        </w:rPr>
        <w:instrText xml:space="preserve"> The results indicate that the WMS can accurately identify bubble, cap bubble, cap churn and churn flow. Due to the influence of the wall effect, flow patterns between the subchannels of the rod bundle channel are not completely consistent with the global flow pattern. After evaluating the existing drift-flux models, new correlations of distribution parameter and drift velocity for different flow patterns in rod bundle channel are proposed, which shows a good prediction capability.","author":[{"dropping-particle":"","family":"Liu","given":"Shuai","non-dropping-particle":"","parse-names":false,"suffix":""},{"dropping-particle":"","family":"Liu","given":"Li","non-dropping-particle":"","parse-names":false,"suffix":""},{"dropping-particle":"","family":"Gu","given":"Hanyang","non-dropping-particle":"","parse-names":false,"suffix":""},{"dropping-particle":"","family":"Wang","given":"Ke","non-dropping-particle":"","parse-names":false,"suffix":""}],"container-title":"Annals of Nuclear Energy","id":"ITEM-2","issued":{"date-parts":[["2022"]]},"title":"Experimental study of gas-liquid flow patterns and void fraction in prototype 5 × 5 rod bundle channel using wire-mesh sensor","type":"article-journal","volume":"171"},"uris":["http://www.mendeley.com/documents/?uuid=daeea4c1-feb8-4f92-85d5-08fb3aa68a1f"]},{"id":"ITEM-3","itemData":{"DOI":"10.1016/j.applthermaleng.2022.119294","ISSN":"13594311","abstract":"In order to investigate two-phase bubbly flow through fuel assembly of pressurized water reactor (PWR), the wire mesh sensor (WMS) is employed to measure air-water flow in a up-scaled 4x4 rod bundle based on PWR fuel assembly. Measurement is carried out in the bare rod bundle and downstream of mixing-vane spacer grid. Air bubbles are injected equally into 16 subchannels at the inlet with a standalone bubble generator which adjusts the injected bubble size. Distribution of void fraction and bubble size across the rod bundle are derived based on the WMS data. In the bare rod bundle, small-size bubbles (&lt;3 mm) are inclined to coalesce and medium-size bubbles (3–8 mm) tends to break up at low gas superficial velocity, while at high gas superficial velocities bubble coalescence produces large-size bubbles (&gt;8mm). High liquid superficial velocity reduces the bubble size. Void fraction distribution of bubble size groups shows that bubbles with diameter less than 4 mm mainly reside near the solid walls, while large bubbles with diameter larger than 6 mm mainly appear in the subchannel center, which is consistent with Tomiyama's lift force correlation. The effect of injected bubble size can hardly be eliminated along with flow development in bare rod bundles. When installed with mixing-vane spacer grid, the vortices produced at the tips of mixing vanes induce bubble entrapment into the swirl core, which significantly enhances the interaction between bubbles, as well as the interphase interaction. Such enhancement is even more remarkable in the low-void-fraction cases. As a consequence, the bubble size distribution downstream of the spacer grid shows relatively weak dependence on the injected bubble size. Besides, the vortices lead to strong inter-subchannel void drift of small-size bubbles, which results in void fraction difference between subchannels. The effects of mixing-vane spacer grid decay comparatively fast in the high void fraction cases.","author":[{"dropping-particle":"","family":"Xiong","given":"Jinbiao","non-dropping-particle":"","parse-names":false,"suffix":""},{"dropping-particle":"","family":"Xie","given":"Hao","non-dropping-particle":"","parse-names":false,"suffix":""},{"dropping-particle":"","family":"Du","given":"Sijia","non-dropping-particle":"","parse-names":false,"suffix":""},{"dropping-particle":"","family":"Cheng","given":"Xu","non-dropping-particle":"","parse-names":false,"suffix":""}],"container-title":"Applied Thermal Engineering","id":"ITEM-3","issue":"June 2022","issued":{"date-parts":[["2023"]]},"title":"Experimental measurement of bubbly two-phase flow in a 4x4 rod bundle with wire mesh sensor","type":"article-journal","volume":"218"},"uris":["http://www.mendeley.com/documents/?uuid=406b0ce3-d672-4acc-b319-61ac774453a2"]},{"id":"ITEM-4","itemData":{"author":[{"dropping-particle":"","family":"Yan","given":"Xu","non-dropping-particle":"","parse-names":false,"suffix":""},{"dropping-particle":"","family":"Xiao","given":"Yao","non-dropping-particle":"","parse-names":false,"suffix":""},{"dropping-particle":"","family":"Zhang","given":"Hengwei","non-dropping-particle":"","parse-names":false,"suffix":""}],"container-title":"Proceedings of the 2022 29th International Conference on Nuclear Engineering ICONE29","id":"ITEM-4","issue":"2021","issued":{"date-parts":[["2022"]]},"page":"1-8","title":"Measurement of the Two-Phase Flow Void Fraction Downstream Of Spacer Grids in Tight Lattice Bundles Using Wire-Mesh Sensor","type":"article-journal"},"uris":["http://www.mendeley.com/documents/?uuid=33b1da1b-d92c-4516-beb3-5a733dd8e922"]}],"mendeley":{"formattedCitation":"[7]–[10]","plainTextFormattedCitation":"[7]–[10]","previouslyFormattedCitation":"[7]–[10]"},"properties":{"noteIndex":0},"schema":"https://github.com/citation-style-language/schema/raw/master/csl-citation.json"}</w:instrText>
      </w:r>
      <w:r w:rsidR="007001C8">
        <w:rPr>
          <w:sz w:val="22"/>
          <w:szCs w:val="22"/>
        </w:rPr>
        <w:fldChar w:fldCharType="separate"/>
      </w:r>
      <w:r w:rsidR="00C67BE2" w:rsidRPr="00C67BE2">
        <w:rPr>
          <w:noProof/>
          <w:sz w:val="22"/>
          <w:szCs w:val="22"/>
        </w:rPr>
        <w:t>[7]–[10]</w:t>
      </w:r>
      <w:r w:rsidR="007001C8">
        <w:rPr>
          <w:sz w:val="22"/>
          <w:szCs w:val="22"/>
        </w:rPr>
        <w:fldChar w:fldCharType="end"/>
      </w:r>
      <w:r w:rsidR="004A2DCA">
        <w:rPr>
          <w:sz w:val="22"/>
          <w:szCs w:val="22"/>
        </w:rPr>
        <w:t>,</w:t>
      </w:r>
      <w:r w:rsidR="008F2676">
        <w:rPr>
          <w:sz w:val="22"/>
          <w:szCs w:val="22"/>
        </w:rPr>
        <w:t xml:space="preserve"> non-invasive gamma ray</w:t>
      </w:r>
      <w:r w:rsidR="00EF702C" w:rsidRPr="00EF702C">
        <w:rPr>
          <w:sz w:val="22"/>
          <w:szCs w:val="22"/>
        </w:rPr>
        <w:t xml:space="preserve"> densitometry</w:t>
      </w:r>
      <w:r w:rsidR="008F2676">
        <w:rPr>
          <w:sz w:val="22"/>
          <w:szCs w:val="22"/>
        </w:rPr>
        <w:t xml:space="preserve"> technique </w:t>
      </w:r>
      <w:r w:rsidR="001F402F">
        <w:rPr>
          <w:sz w:val="22"/>
          <w:szCs w:val="22"/>
        </w:rPr>
        <w:fldChar w:fldCharType="begin" w:fldLock="1"/>
      </w:r>
      <w:r w:rsidR="009D6DFA">
        <w:rPr>
          <w:sz w:val="22"/>
          <w:szCs w:val="22"/>
        </w:rPr>
        <w:instrText>ADDIN CSL_CITATION {"citationItems":[{"id":"ITEM-1","itemData":{"DOI":"10.1016/0029-5493(94)90087-6","ISSN":"00295493","abstract":"Axial void fraction distributions were measured in a vertical cylindrical channel with a four-rod heated bundle under flow stagnation conditions. The development length for the void fraction profile was measured. It was observed that the void fraction profile does not always increase progressively along the channel, but peaks where most of the coalescence takes place. The ability of currently used drift-flux correlations to predict such behavior is questioned by the present experimental results. © 1994.","author":[{"dropping-particle":"","family":"Qazi","given":"M. K.","non-dropping-particle":"","parse-names":false,"suffix":""},{"dropping-particle":"","family":"Guido-Lavalle","given":"G.","non-dropping-particle":"","parse-names":false,"suffix":""},{"dropping-particle":"","family":"Clausse","given":"A.","non-dropping-particle":"","parse-names":false,"suffix":""}],"container-title":"Nuclear Engineering and Design","id":"ITEM-1","issue":"1-3","issued":{"date-parts":[["1994"]]},"page":"225-230","title":"Void fraction along a vertical heated rod bundle under flow stagnation conditions","type":"article-journal","volume":"152"},"uris":["http://www.mendeley.com/documents/?uuid=5275cf16-5184-45f8-b634-780c32a5fd6e"]},{"id":"ITEM-2","itemData":{"author":[{"dropping-particle":"","family":"Qazi","given":"M. K.","non-dropping-particle":"","parse-names":false,"suffix":""},{"dropping-particle":"","family":"Guido-Lavalle","given":"G.","non-dropping-particle":"","parse-names":false,"suffix":""},{"dropping-particle":"","family":"Clausse","given":"A.","non-dropping-particle":"","parse-names":false,"suffix":""}],"container-title":"International Journal of Multiphase Flow","id":"ITEM-2","issue":"2","issued":{"date-parts":[["1993"]]},"page":"385-389","title":"Axial development of void fraction profiles in vertical two-phase flow","type":"article-journal","volume":"19"},"uris":["http://www.mendeley.com/documents/?uuid=ada0e37c-fc43-4292-8973-79d72af3c4ed"]},{"id":"ITEM-3","itemData":{"DOI":"10.1016/S0301-9322(00)00005-7","ISBN":"3101527821","ISSN":"03019322","abstract":"A relatively simple subchannel void-fraction measurement system was developed and applied to a scaled model of a BWR fuel assembly. The measurement system is based upon the gamma-transmission technique and uses a tomographic reconstruction procedure to calculate the void-fractions in the subchannels. Data pre-processing is used to remove positioning errors of the gamma source and detector. Measurements are performed under different operating conditions and radial power profiles. The measurements are compared with the drift-flux two-phase flow model. The void-fraction in the wall and corner subchannels is lower than average. By applying the drift-flux model to each subchannel separately and comparing this calculation with measurements the presence of lateral void-drift should be detectable. However, the data do not show evidence for lateral void-drift. By comparing two chordal void-fractions, one through the fuel rods and one in between the fuel rods, a flow pattern transition could clearly be seen between a void-fraction of 30% and 40%.","author":[{"dropping-particle":"V.","family":"Kok","given":"H.","non-dropping-particle":"","parse-names":false,"suffix":""},{"dropping-particle":"","family":"Hagen","given":"T. H.J.J.","non-dropping-particle":"Van Der","parse-names":false,"suffix":""},{"dropping-particle":"","family":"Mudde","given":"R. F.","non-dropping-particle":"","parse-names":false,"suffix":""}],"container-title":"International Journal of Multiphase Flow","id":"ITEM-3","issue":"1","issued":{"date-parts":[["2001"]]},"page":"147-170","title":"Subchannel void-fraction measurements in a 6×6 rod bundle using a simple gamma-transmission method","type":"article-journal","volume":"27"},"uris":["http://www.mendeley.com/documents/?uuid=c099ac40-7207-4fd0-a0ce-f5ca3fe07a78"]}],"mendeley":{"formattedCitation":"[11]–[13]","plainTextFormattedCitation":"[11]–[13]","previouslyFormattedCitation":"[11], [12]"},"properties":{"noteIndex":0},"schema":"https://github.com/citation-style-language/schema/raw/master/csl-citation.json"}</w:instrText>
      </w:r>
      <w:r w:rsidR="001F402F">
        <w:rPr>
          <w:sz w:val="22"/>
          <w:szCs w:val="22"/>
        </w:rPr>
        <w:fldChar w:fldCharType="separate"/>
      </w:r>
      <w:r w:rsidR="009D6DFA" w:rsidRPr="009D6DFA">
        <w:rPr>
          <w:noProof/>
          <w:sz w:val="22"/>
          <w:szCs w:val="22"/>
        </w:rPr>
        <w:t>[11]–[13]</w:t>
      </w:r>
      <w:r w:rsidR="001F402F">
        <w:rPr>
          <w:sz w:val="22"/>
          <w:szCs w:val="22"/>
        </w:rPr>
        <w:fldChar w:fldCharType="end"/>
      </w:r>
      <w:r w:rsidR="00E53EAE">
        <w:rPr>
          <w:sz w:val="22"/>
          <w:szCs w:val="22"/>
        </w:rPr>
        <w:t>.</w:t>
      </w:r>
      <w:r w:rsidR="004A2DCA">
        <w:rPr>
          <w:sz w:val="22"/>
          <w:szCs w:val="22"/>
        </w:rPr>
        <w:t xml:space="preserve"> </w:t>
      </w:r>
      <w:r w:rsidRPr="004641C3">
        <w:rPr>
          <w:sz w:val="22"/>
          <w:szCs w:val="22"/>
        </w:rPr>
        <w:t xml:space="preserve">One of the most accurate resolution techniques </w:t>
      </w:r>
      <w:r w:rsidRPr="004641C3">
        <w:rPr>
          <w:sz w:val="22"/>
          <w:szCs w:val="22"/>
        </w:rPr>
        <w:lastRenderedPageBreak/>
        <w:t>employed has been the use of optical fiber probes</w:t>
      </w:r>
      <w:r w:rsidR="004A2DCA">
        <w:rPr>
          <w:sz w:val="22"/>
          <w:szCs w:val="22"/>
        </w:rPr>
        <w:t xml:space="preserve"> </w:t>
      </w:r>
      <w:r w:rsidR="004A2DCA" w:rsidRPr="004F558D">
        <w:fldChar w:fldCharType="begin" w:fldLock="1"/>
      </w:r>
      <w:r w:rsidR="009D6DFA">
        <w:rPr>
          <w:sz w:val="22"/>
          <w:szCs w:val="22"/>
        </w:rPr>
        <w:instrText>ADDIN CSL_CITATION {"citationItems":[{"id":"ITEM-1","itemData":{"DOI":"10.1063/1.1135524","ISSN":"00346748","abstract":"In view of the importance of obtaining unsteady local void fraction and interface velocities in liquid-vapor two-phase flows, an optical probe with a controlled tip geometry was developed and is described. In order to minimize the disturbances caused to the flow field by the presence of the probe, its dimensions have been miniaturized. The electronic and hydrodynamic responses of the probe were investigated experimentally. The probe was found to be sensitive to both the interface velocities and the phase present at the probe tip. A possible explanation for the behavior of the probe is presented. Within the velocity range checked and with proper calibration, the optical probe described can be used to determine both local void fractions and interface velocities.","author":[{"dropping-particle":"","family":"Abuaf","given":"N.","non-dropping-particle":"","parse-names":false,"suffix":""},{"dropping-particle":"","family":"Jones","given":"O. C.","non-dropping-particle":"","parse-names":false,"suffix":""},{"dropping-particle":"","family":"Zimmer","given":"G. A.","non-dropping-particle":"","parse-names":false,"suffix":""}],"container-title":"Review of Scientific Instruments","id":"ITEM-1","issue":"8","issued":{"date-parts":[["1978"]]},"page":"1090-1094","title":"Optical probe for local void fraction and interface velocity measurements","type":"article-journal","volume":"49"},"uris":["http://www.mendeley.com/documents/?uuid=e4fcf629-9955-40be-b286-355afebba689"]},{"id":"ITEM-2","itemData":{"DOI":"10.1016/j.ijmultiphaseflow.2018.11.008","ISSN":"03019322","abstract":"The effect of the vertical heat-exchanging tube bundle configurations on local gas holdup and bubble dynamics, including specific gas-liquid interfacial area, bubble chord length, bubble rise velocity, and bubble passage frequency have been studied using the 4-point optical fiber probe technique. Two different tube bundle configurations were investigated, circular tube bundle and hexagonal tube bundle. 30 internal tubes, each with a diameter of 0.5 inches (0.013 m), were used in each configuration occupying 25% of the column cross-section area to represent the heat exchanging tubes utilized in the Fischer–Tropsch process. The experimental work was performed in a 0.14 m inner diameter Plexiglas bubble column using an air-water system. The applied superficial gas velocities were based on the free cross-sectional area of the column available for fluid flow and were in the range of 0.02 to 0.45 m/s covering bubbly, transition, and churn turbulent flow regimes. Although the size and the number of the tubes in both configurations were similar, their effects on the hydrodynamics were found to be different. When compared to bubble column without internals, the circular tube bundle showed a significant increase in the local gas holdup in the core region and a decrease in the wall regions. Simultaneously, a substantial increase in the bubble chord length and bubble velocity was seen. Another important observation was the decrease in the interfacial area while using circular tube bundle. A distinct asymmetrical effect on the radial profiles of gas holdup and the specific interfacial area was observed when the hexagonal configuration was used. The gas holdup and interfacial area significantly increased on one side of the column and decreased on the other side. The bubble chord length and bubble rise velocity decreased, exhibiting a narrower distribution with smaller values, in comparison to the bubble column without internals.","author":[{"dropping-particle":"","family":"Jasim","given":"Ahmed A.","non-dropping-particle":"","parse-names":false,"suffix":""},{"dropping-particle":"","family":"Sultan","given":"Abbas J.","non-dropping-particle":"","parse-names":false,"suffix":""},{"dropping-particle":"","family":"Al-Dahhan","given":"Muthanna H.","non-dropping-particle":"","parse-names":false,"suffix":""}],"container-title":"International Journal of Multiphase Flow","id":"ITEM-2","issue":"November","issued":{"date-parts":[["2019"]]},"page":"63-82","publisher":"Elsevier Ltd","title":"Impact of heat exchanging internals configurations on the gas holdup and bubble properties in a bubble column","type":"article-journal","volume":"112"},"uris":["http://www.mendeley.com/documents/?uuid=d418b1d2-6608-4bee-b609-b8e2f1a8b67f"]},{"id":"ITEM-3","itemData":{"DOI":"10.1007/s42757-019-0031-0","ISSN":"2661-8869","author":[{"dropping-particle":"","family":"Shen","given":"Xiuzhong","non-dropping-particle":"","parse-names":false,"suffix":""},{"dropping-particle":"","family":"Miwa","given":"Shuichiro","non-dropping-particle":"","parse-names":false,"suffix":""},{"dropping-particle":"","family":"Xiao","given":"Yigeng","non-dropping-particle":"","parse-names":false,"suffix":""},{"dropping-particle":"","family":"Han","given":"Xu","non-dropping-particle":"","parse-names":false,"suffix":""},{"dropping-particle":"","family":"Hibiki","given":"Takashi","non-dropping-particle":"","parse-names":false,"suffix":""}],"container-title":"Experimental and Computational Multiphase Flow","id":"ITEM-3","issue":"3","issued":{"date-parts":[["2019"]]},"page":"186-200","title":"Local measurements of upward air-water two-phase flows in a vertical 6×6 rod bundle","type":"article-journal","volume":"1"},"uris":["http://www.mendeley.com/documents/?uuid=c3b499db-1da5-4147-b582-6dad551d877e"]},{"id":"ITEM-4","itemData":{"DOI":"10.1115/icone2020-16740","ISBN":"9784888982566","abstract":"In the present paper, the local two-phase flow parameters were measured with a four-sensor optical probe in adiabatic upward air-water two-phase flows in a 6×6 vertical rod bundle with rod diameter of 10 mm, pitch of 16.7 mm, square channel box side length of 100 mm and hydraulic equivalent diameter (DH) of 18.7 mm. The local measurements were performed in an octant triangular region of the rod bundle cross-section at the axial position with height-to-diameter ratio (z/DH) of 149 under a total of 16 flow conditions. The local void fraction, interfacial area concentration (IAC), bubble diameter and bubble velocity were obtained in the four-sensor probe measurements. Both of the measured void fraction and IAC show their radial local distributions with the core-peaking and wall-peaking shapes which are closely linked with the superficial velocity of two phases. The distribution shapes tend to change from the core-peaking to the wall-peaking when the superficial liquid velocity (&lt;jf&gt;) increases and the superficial gas velocity (&lt;jg&gt;) decreases. The measured diameters of local bubbles keep the similar values in the measuring cross-section, increase when the &lt;jg&gt; increases and decrease when the &lt;jf&gt; increases. The bubbles behave with the velocities whose main flow direction component keeps a typical radial power-law (core-peaking) profile and whose cross-sectional velocity components show a significant trend of bubbles migrating from the center to the wall region of the channel box especially under high &lt;jf&gt; conditions. The area-averaged results of void fraction and IAC were obtained by a cross-sectional area-averaging scheme. The resultant area-averaged void fraction and IAC were used to check the void fraction predicting capability of two drift-flux correlations and the IAC prediction performance of two IAC correlations respectively. The applicability of these correlations to the rod bundle geometry was discussed and concluded finally in this paper.","author":[{"dropping-particle":"","family":"Han","given":"Xu","non-dropping-particle":"","parse-names":false,"suffix":""},{"dropping-particle":"","family":"Shen","given":"Xiuzhong","non-dropping-particle":"","parse-names":false,"suffix":""},{"dropping-particle":"","family":"Yamamoto","given":"Toshihiro","non-dropping-particle":"","parse-names":false,"suffix":""},{"dropping-particle":"","family":"Nakajima","given":"Ken","non-dropping-particle":"","parse-names":false,"suffix":""}],"container-title":"International Conference on Nuclear Engineering, Proceedings, ICONE","id":"ITEM-4","issued":{"date-parts":[["2020"]]},"title":"Flow characteristics of upward two-phase flows in a rod bundle geometry","type":"article-journal","volume":"3"},"uris":["http://www.mendeley.com/documents/?uuid=b9c6beaf-68f5-4087-bbd0-96be3a31ee95"]}],"mendeley":{"formattedCitation":"[14]–[17]","plainTextFormattedCitation":"[14]–[17]","previouslyFormattedCitation":"[13]–[16]"},"properties":{"noteIndex":0},"schema":"https://github.com/citation-style-language/schema/raw/master/csl-citation.json"}</w:instrText>
      </w:r>
      <w:r w:rsidR="004A2DCA" w:rsidRPr="004F558D">
        <w:fldChar w:fldCharType="separate"/>
      </w:r>
      <w:r w:rsidR="009D6DFA" w:rsidRPr="009D6DFA">
        <w:rPr>
          <w:noProof/>
          <w:sz w:val="22"/>
          <w:szCs w:val="22"/>
        </w:rPr>
        <w:t>[14]–[17]</w:t>
      </w:r>
      <w:r w:rsidR="004A2DCA" w:rsidRPr="004F558D">
        <w:fldChar w:fldCharType="end"/>
      </w:r>
      <w:r w:rsidRPr="004641C3">
        <w:rPr>
          <w:sz w:val="22"/>
          <w:szCs w:val="22"/>
        </w:rPr>
        <w:t>. The optical fiber probes are known for their ability to accurately measure local parameters, and they have a high spatial resolution</w:t>
      </w:r>
      <w:r w:rsidR="00AB6E7C">
        <w:rPr>
          <w:sz w:val="22"/>
          <w:szCs w:val="22"/>
        </w:rPr>
        <w:t xml:space="preserve"> comparing with electrical conductivity prob</w:t>
      </w:r>
      <w:r w:rsidR="00AA3AB1">
        <w:rPr>
          <w:sz w:val="22"/>
          <w:szCs w:val="22"/>
        </w:rPr>
        <w:t xml:space="preserve">e </w:t>
      </w:r>
      <w:r w:rsidR="00683B25" w:rsidRPr="004F558D">
        <w:fldChar w:fldCharType="begin" w:fldLock="1"/>
      </w:r>
      <w:r w:rsidR="009D6DFA">
        <w:rPr>
          <w:sz w:val="22"/>
          <w:szCs w:val="22"/>
        </w:rPr>
        <w:instrText>ADDIN CSL_CITATION {"citationItems":[{"id":"ITEM-1","itemData":{"DOI":"10.1080/00986449008940700","ISSN":"15635201","abstract":"Direct quantitative comparisons of four different probe methods were performed for determination of local gas holdup, vertical bubble length, bubble rising velocity, and bubble frequency. The methods include vertically projecting electroresistivity, horizontally projecting electroresistivity, U-shape light reflection, and light transmission. The measured bubble properties strongly depended on the size and configuration of the probe tips. The light transmission probe developed in this work can be used to determine the bubble properties effectively. In order to minimize interferences with bubble flow, the size of probe tip should be small as possible and its conliguration must be vertically projecting. © 1990, Taylor &amp; Francis Group, LLC. All rights reserved.","author":[{"dropping-particle":"","family":"Choi","given":"Keun Ho","non-dropping-particle":"","parse-names":false,"suffix":""},{"dropping-particle":"","family":"Lee","given":"Won Kook","non-dropping-particle":"","parse-names":false,"suffix":""}],"container-title":"Chemical Engineering Communications","id":"ITEM-1","issue":"1","issued":{"date-parts":[["1990"]]},"page":"35-47","title":"Comparison of probe methods for measurement of bubble properties","type":"article-journal","volume":"91"},"uris":["http://www.mendeley.com/documents/?uuid=09fa768d-79f8-415c-881c-0a2232138dd5"]}],"mendeley":{"formattedCitation":"[18]","plainTextFormattedCitation":"[18]","previouslyFormattedCitation":"[17]"},"properties":{"noteIndex":0},"schema":"https://github.com/citation-style-language/schema/raw/master/csl-citation.json"}</w:instrText>
      </w:r>
      <w:r w:rsidR="00683B25" w:rsidRPr="004F558D">
        <w:fldChar w:fldCharType="separate"/>
      </w:r>
      <w:r w:rsidR="009D6DFA" w:rsidRPr="009D6DFA">
        <w:rPr>
          <w:noProof/>
          <w:sz w:val="22"/>
          <w:szCs w:val="22"/>
        </w:rPr>
        <w:t>[18]</w:t>
      </w:r>
      <w:r w:rsidR="00683B25" w:rsidRPr="004F558D">
        <w:fldChar w:fldCharType="end"/>
      </w:r>
      <w:r w:rsidRPr="004641C3">
        <w:rPr>
          <w:sz w:val="22"/>
          <w:szCs w:val="22"/>
        </w:rPr>
        <w:t>. Th</w:t>
      </w:r>
      <w:r w:rsidR="00823DC4">
        <w:rPr>
          <w:sz w:val="22"/>
          <w:szCs w:val="22"/>
        </w:rPr>
        <w:t>e fiber optical</w:t>
      </w:r>
      <w:r w:rsidRPr="004641C3">
        <w:rPr>
          <w:sz w:val="22"/>
          <w:szCs w:val="22"/>
        </w:rPr>
        <w:t xml:space="preserve"> probes work based on the refractive index of the medium around the fiber optical probe tip. However, only limited experimental data is available for the local two-phase flow characteristics within the rod bundle.</w:t>
      </w:r>
      <w:r w:rsidR="002107B6">
        <w:rPr>
          <w:sz w:val="22"/>
          <w:szCs w:val="22"/>
        </w:rPr>
        <w:t xml:space="preserve"> </w:t>
      </w:r>
      <w:r w:rsidR="00354EE0" w:rsidRPr="004F558D">
        <w:rPr>
          <w:sz w:val="22"/>
          <w:szCs w:val="22"/>
        </w:rPr>
        <w:t>Paranjape et al</w:t>
      </w:r>
      <w:r w:rsidR="008915EF" w:rsidRPr="004F558D">
        <w:rPr>
          <w:sz w:val="22"/>
          <w:szCs w:val="22"/>
        </w:rPr>
        <w:t>. (2008</w:t>
      </w:r>
      <w:r w:rsidR="006D72EF">
        <w:rPr>
          <w:sz w:val="22"/>
          <w:szCs w:val="22"/>
        </w:rPr>
        <w:t xml:space="preserve">, </w:t>
      </w:r>
      <w:r w:rsidR="008915EF" w:rsidRPr="004F558D">
        <w:rPr>
          <w:sz w:val="22"/>
          <w:szCs w:val="22"/>
        </w:rPr>
        <w:t>2011)</w:t>
      </w:r>
      <w:r w:rsidR="00955EEA" w:rsidRPr="004F558D">
        <w:rPr>
          <w:sz w:val="22"/>
          <w:szCs w:val="22"/>
        </w:rPr>
        <w:t xml:space="preserve"> conducted experiments on air-water two-phase flow in an 8×8 rod bundle channel </w:t>
      </w:r>
      <w:r w:rsidR="00D71507" w:rsidRPr="004F558D">
        <w:rPr>
          <w:sz w:val="22"/>
          <w:szCs w:val="22"/>
        </w:rPr>
        <w:t>to</w:t>
      </w:r>
      <w:r w:rsidR="00955EEA" w:rsidRPr="004F558D">
        <w:rPr>
          <w:sz w:val="22"/>
          <w:szCs w:val="22"/>
        </w:rPr>
        <w:t xml:space="preserve"> identify different flow regimes</w:t>
      </w:r>
      <w:r w:rsidR="001D6332" w:rsidRPr="004F558D">
        <w:rPr>
          <w:sz w:val="22"/>
          <w:szCs w:val="22"/>
        </w:rPr>
        <w:t xml:space="preserve"> at </w:t>
      </w:r>
      <w:r w:rsidR="00B46F43" w:rsidRPr="004F558D">
        <w:rPr>
          <w:sz w:val="22"/>
          <w:szCs w:val="22"/>
        </w:rPr>
        <w:t>var</w:t>
      </w:r>
      <w:r w:rsidR="00147863" w:rsidRPr="004F558D">
        <w:rPr>
          <w:sz w:val="22"/>
          <w:szCs w:val="22"/>
        </w:rPr>
        <w:t>ious</w:t>
      </w:r>
      <w:r w:rsidR="001D6332" w:rsidRPr="004F558D">
        <w:rPr>
          <w:sz w:val="22"/>
          <w:szCs w:val="22"/>
        </w:rPr>
        <w:t xml:space="preserve"> axial</w:t>
      </w:r>
      <w:r w:rsidR="006064B5" w:rsidRPr="004F558D">
        <w:rPr>
          <w:sz w:val="22"/>
          <w:szCs w:val="22"/>
        </w:rPr>
        <w:t xml:space="preserve"> </w:t>
      </w:r>
      <w:r w:rsidR="001D6332" w:rsidRPr="004F558D">
        <w:rPr>
          <w:sz w:val="22"/>
          <w:szCs w:val="22"/>
        </w:rPr>
        <w:t>locations in the channel</w:t>
      </w:r>
      <w:r w:rsidR="00E754F8" w:rsidRPr="004F558D">
        <w:rPr>
          <w:sz w:val="22"/>
          <w:szCs w:val="22"/>
        </w:rPr>
        <w:t xml:space="preserve"> using</w:t>
      </w:r>
      <w:r w:rsidR="00955EEA" w:rsidRPr="004F558D">
        <w:rPr>
          <w:sz w:val="22"/>
          <w:szCs w:val="22"/>
        </w:rPr>
        <w:t>. They classified the observed flow patterns into four distinct categories. The flows under consideration are characterized by their dynamic behavior, specifically their tendency to exhibit bubb</w:t>
      </w:r>
      <w:r w:rsidR="002A1A74" w:rsidRPr="004F558D">
        <w:rPr>
          <w:sz w:val="22"/>
          <w:szCs w:val="22"/>
        </w:rPr>
        <w:t>ly</w:t>
      </w:r>
      <w:r w:rsidR="00955EEA" w:rsidRPr="004F558D">
        <w:rPr>
          <w:sz w:val="22"/>
          <w:szCs w:val="22"/>
        </w:rPr>
        <w:t>, cap-bubbl</w:t>
      </w:r>
      <w:r w:rsidR="002A1A74" w:rsidRPr="004F558D">
        <w:rPr>
          <w:sz w:val="22"/>
          <w:szCs w:val="22"/>
        </w:rPr>
        <w:t>y</w:t>
      </w:r>
      <w:r w:rsidR="00955EEA" w:rsidRPr="004F558D">
        <w:rPr>
          <w:sz w:val="22"/>
          <w:szCs w:val="22"/>
        </w:rPr>
        <w:t>, cap-turbulen</w:t>
      </w:r>
      <w:r w:rsidR="002A1A74" w:rsidRPr="004F558D">
        <w:rPr>
          <w:sz w:val="22"/>
          <w:szCs w:val="22"/>
        </w:rPr>
        <w:t>t</w:t>
      </w:r>
      <w:r w:rsidR="00955EEA" w:rsidRPr="004F558D">
        <w:rPr>
          <w:sz w:val="22"/>
          <w:szCs w:val="22"/>
        </w:rPr>
        <w:t>, and churn-turbulen</w:t>
      </w:r>
      <w:r w:rsidR="002A1A74" w:rsidRPr="004F558D">
        <w:rPr>
          <w:sz w:val="22"/>
          <w:szCs w:val="22"/>
        </w:rPr>
        <w:t>t</w:t>
      </w:r>
      <w:r w:rsidR="00FE1590" w:rsidRPr="004F558D">
        <w:rPr>
          <w:sz w:val="22"/>
          <w:szCs w:val="22"/>
        </w:rPr>
        <w:t xml:space="preserve"> </w:t>
      </w:r>
      <w:r w:rsidR="00DE0294" w:rsidRPr="004F558D">
        <w:rPr>
          <w:sz w:val="22"/>
          <w:szCs w:val="22"/>
        </w:rPr>
        <w:fldChar w:fldCharType="begin" w:fldLock="1"/>
      </w:r>
      <w:r w:rsidR="009D6DFA">
        <w:rPr>
          <w:sz w:val="22"/>
          <w:szCs w:val="22"/>
        </w:rPr>
        <w:instrText>ADDIN CSL_CITATION {"citationItems":[{"id":"ITEM-1","itemData":{"DOI":"10.1115/ICONE16-48435","ISBN":"0791848159","abstract":"Flow regime maps were obtained for an adiabatic air-water two phase flow through a flow channel with 8×8 rod bundle, which simulated a typical rod bundle in a BWR. Impedance void meters were used to measure the area averaged void fraction at various axial locations in the flow channel The Cumulative Probability Distribution Functions (CPDF) of the signals from the impedance meters were fed to a self organizing neural network to identify the How regimes. The flow regimes were identified at seven axial locations in the channel in order to understand the development of the flow regimes in axial direction. The experimental flow regime transition boundaries agreed well with the theoretical ones obtained using Mishima and Ishii (1984) model. In addition, the two impedance void meters located across a spacer grid, which were used to study the change in the flow regime across the spacer grid. Copyright © 2008 by ASME.","author":[{"dropping-particle":"","family":"Paranjape","given":"Sidharth","non-dropping-particle":"","parse-names":false,"suffix":""},{"dropping-particle":"","family":"Stefanczyk","given":"Damian","non-dropping-particle":"","parse-names":false,"suffix":""},{"dropping-particle":"","family":"Liang","given":"Yong","non-dropping-particle":"","parse-names":false,"suffix":""},{"dropping-particle":"","family":"Hibiki","given":"Takashi","non-dropping-particle":"","parse-names":false,"suffix":""},{"dropping-particle":"","family":"Ishii","given":"Mamoru","non-dropping-particle":"","parse-names":false,"suffix":""}],"container-title":"International Conference on Nuclear Engineering, Proceedings, ICONE","id":"ITEM-1","issued":{"date-parts":[["2008"]]},"page":"421-429","title":"Global flow regime identification in a rod bundle geometry","type":"article-journal","volume":"3"},"uris":["http://www.mendeley.com/documents/?uuid=39793d4c-36af-476b-a3bb-b8b98221204b"]},{"id":"ITEM-2","itemData":{"DOI":"10.1115/1.4004836","ISSN":"00982202","abstract":"Flow regime maps were obtained for adiabatic air-water two-phase flow through a flow channel with 8 × 8 rod bundle, which simulated a typical rod bundle in a boiling water reactor. Impedance void meters were used to measure the area averaged void fraction at various axial locations in the flow channel. The Cumulative Probability Distribution Functions of the signals from the impedance meters were utilized along with self organizing neural network methodology to identify the flow regimes. The flow regimes were identified at five axial locations in the channel in order to understand the development of the flow regimes in axial direction. The experimental flow regime transition boundaries for bubbly to cap-bubbly and part of the cap-turbulent to churn-turbulent agreed with the theoretical boundaries of bubbly to slug and slug to churn-turbulent in round pipes. In addition, the two impedance void meters located across a spacer grid, revealed the nature of change in the flow regime across the spacer grid. © 2011 American Society of Mechanical Engineers.","author":[{"dropping-particle":"","family":"Paranjape","given":"Sidharth","non-dropping-particle":"","parse-names":false,"suffix":""},{"dropping-particle":"","family":"Chen","given":"Shao Wen","non-dropping-particle":"","parse-names":false,"suffix":""},{"dropping-particle":"","family":"Hibiki","given":"Takashi","non-dropping-particle":"","parse-names":false,"suffix":""},{"dropping-particle":"","family":"Ishii","given":"Mamoru","non-dropping-particle":"","parse-names":false,"suffix":""}],"container-title":"Journal of Fluids Engineering, Transactions of the ASME","id":"ITEM-2","issue":"9","issued":{"date-parts":[["2011"]]},"page":"1-8","title":"Flow regime identification under adiabatic upward two-phase flow in a vertical rod bundle geometry","type":"article-journal","volume":"133"},"uris":["http://www.mendeley.com/documents/?uuid=bfda377b-c6e5-4621-b5c7-a502836cf8e3"]}],"mendeley":{"formattedCitation":"[19], [20]","plainTextFormattedCitation":"[19], [20]","previouslyFormattedCitation":"[18], [19]"},"properties":{"noteIndex":0},"schema":"https://github.com/citation-style-language/schema/raw/master/csl-citation.json"}</w:instrText>
      </w:r>
      <w:r w:rsidR="00DE0294" w:rsidRPr="004F558D">
        <w:rPr>
          <w:sz w:val="22"/>
          <w:szCs w:val="22"/>
        </w:rPr>
        <w:fldChar w:fldCharType="separate"/>
      </w:r>
      <w:r w:rsidR="009D6DFA" w:rsidRPr="009D6DFA">
        <w:rPr>
          <w:noProof/>
          <w:sz w:val="22"/>
          <w:szCs w:val="22"/>
        </w:rPr>
        <w:t>[19], [20]</w:t>
      </w:r>
      <w:r w:rsidR="00DE0294" w:rsidRPr="004F558D">
        <w:rPr>
          <w:sz w:val="22"/>
          <w:szCs w:val="22"/>
        </w:rPr>
        <w:fldChar w:fldCharType="end"/>
      </w:r>
      <w:r w:rsidR="00955EEA" w:rsidRPr="004F558D">
        <w:rPr>
          <w:sz w:val="22"/>
          <w:szCs w:val="22"/>
        </w:rPr>
        <w:t xml:space="preserve">. </w:t>
      </w:r>
      <w:r w:rsidR="00CB2477" w:rsidRPr="004F558D">
        <w:rPr>
          <w:sz w:val="22"/>
          <w:szCs w:val="22"/>
        </w:rPr>
        <w:t>Yang et al.</w:t>
      </w:r>
      <w:r w:rsidR="008F76FE">
        <w:rPr>
          <w:sz w:val="22"/>
          <w:szCs w:val="22"/>
        </w:rPr>
        <w:t>,</w:t>
      </w:r>
      <w:r w:rsidR="00CB2477" w:rsidRPr="004F558D">
        <w:rPr>
          <w:sz w:val="22"/>
          <w:szCs w:val="22"/>
        </w:rPr>
        <w:t xml:space="preserve"> (2012) conducted a localized assessment of void fraction and interfacial area</w:t>
      </w:r>
      <w:r w:rsidR="004F558D" w:rsidRPr="004F558D">
        <w:rPr>
          <w:sz w:val="22"/>
          <w:szCs w:val="22"/>
        </w:rPr>
        <w:t xml:space="preserve"> </w:t>
      </w:r>
      <w:r w:rsidR="00CB2477" w:rsidRPr="004F558D">
        <w:rPr>
          <w:sz w:val="22"/>
          <w:szCs w:val="22"/>
        </w:rPr>
        <w:t>concentration within an 8×8 rod bundle geometry. This investigation involved the utilization of wire meshes and conductivity probes</w:t>
      </w:r>
      <w:r w:rsidR="00AB4097" w:rsidRPr="004F558D">
        <w:rPr>
          <w:sz w:val="22"/>
          <w:szCs w:val="22"/>
        </w:rPr>
        <w:t xml:space="preserve"> </w:t>
      </w:r>
      <w:r w:rsidR="00441159" w:rsidRPr="004F558D">
        <w:rPr>
          <w:sz w:val="22"/>
          <w:szCs w:val="22"/>
        </w:rPr>
        <w:fldChar w:fldCharType="begin" w:fldLock="1"/>
      </w:r>
      <w:r w:rsidR="009D6DFA">
        <w:rPr>
          <w:sz w:val="22"/>
          <w:szCs w:val="22"/>
        </w:rPr>
        <w:instrText>ADDIN CSL_CITATION {"citationItems":[{"id":"ITEM-1","itemData":{"DOI":"10.1016/j.ijheatfluidflow.2012.02.001","ISSN":"0142727X","abstract":"The behavior of reactor systems is predicted using advanced computational codes in order to determine the safety characteristics of the system during various accidents and to determine the performance characteristics of the reactor. These codes generally utilize the two-fluid model for predictions of two-phase flows, as this model is the most accurate and detailed model which is currently practical for predicting large-scale systems. One of the weaknesses of this approach however is the need to develop constitutive models for various quantities. Of specific interest are the models used in the prediction of void fraction and pressure drop across the rod bundle due to their importance in new Natural Circulation Boiling Water Reactor (NCBWR) designs, where these quantities determine the coolant flow rate through the core. To verify the performance of these models and expand the existing experimental database, data has been collected in an 8 × 8 rod bundle which is carefully scaled from actual BWR geometry and includes grid spacers to maintain rod spacing. While these spacer grids are 'generic', their inclusion does provide valuable data for analysis of the effect of grid spacers on the flow. In addition to pressure drop measurements the area-averaged void fraction has been measured by impedance void meters and local conductivity probes have been used to measure the local void fraction and interfacial area concentration in the bundle subchannels. Experimental conditions covered a wide range of flow rates and void fractions up to 80%. © 2012 Elsevier Inc.","author":[{"dropping-particle":"","family":"Yang","given":"X.","non-dropping-particle":"","parse-names":false,"suffix":""},{"dropping-particle":"","family":"Schlegel","given":"J. P.","non-dropping-particle":"","parse-names":false,"suffix":""},{"dropping-particle":"","family":"Liu","given":"Y.","non-dropping-particle":"","parse-names":false,"suffix":""},{"dropping-particle":"","family":"Paranjape","given":"S.","non-dropping-particle":"","parse-names":false,"suffix":""},{"dropping-particle":"","family":"Hibiki","given":"T.","non-dropping-particle":"","parse-names":false,"suffix":""},{"dropping-particle":"","family":"Ishii","given":"M.","non-dropping-particle":"","parse-names":false,"suffix":""}],"container-title":"International Journal of Heat and Fluid Flow","id":"ITEM-1","issue":"2012","issued":{"date-parts":[["2012"]]},"page":"85-97","publisher":"Elsevier Inc.","title":"Measurement and modeling of two-phase flow parameters in scaled 8×8 BWR rod bundle","type":"article-journal","volume":"34"},"uris":["http://www.mendeley.com/documents/?uuid=1b42009c-5328-4080-9067-e12919a6402b"]}],"mendeley":{"formattedCitation":"[21]","plainTextFormattedCitation":"[21]","previouslyFormattedCitation":"[20]"},"properties":{"noteIndex":0},"schema":"https://github.com/citation-style-language/schema/raw/master/csl-citation.json"}</w:instrText>
      </w:r>
      <w:r w:rsidR="00441159" w:rsidRPr="004F558D">
        <w:rPr>
          <w:sz w:val="22"/>
          <w:szCs w:val="22"/>
        </w:rPr>
        <w:fldChar w:fldCharType="separate"/>
      </w:r>
      <w:r w:rsidR="009D6DFA" w:rsidRPr="009D6DFA">
        <w:rPr>
          <w:noProof/>
          <w:sz w:val="22"/>
          <w:szCs w:val="22"/>
        </w:rPr>
        <w:t>[21]</w:t>
      </w:r>
      <w:r w:rsidR="00441159" w:rsidRPr="004F558D">
        <w:rPr>
          <w:sz w:val="22"/>
          <w:szCs w:val="22"/>
        </w:rPr>
        <w:fldChar w:fldCharType="end"/>
      </w:r>
      <w:r w:rsidR="00CB2477" w:rsidRPr="004F558D">
        <w:rPr>
          <w:sz w:val="22"/>
          <w:szCs w:val="22"/>
        </w:rPr>
        <w:t>.</w:t>
      </w:r>
      <w:r w:rsidR="009F0797" w:rsidRPr="004F558D">
        <w:rPr>
          <w:sz w:val="22"/>
          <w:szCs w:val="22"/>
        </w:rPr>
        <w:t xml:space="preserve"> </w:t>
      </w:r>
      <w:r w:rsidR="00A359A1" w:rsidRPr="004F558D">
        <w:rPr>
          <w:sz w:val="22"/>
          <w:szCs w:val="22"/>
        </w:rPr>
        <w:t>A double and four</w:t>
      </w:r>
      <w:r w:rsidR="00EB2210" w:rsidRPr="004F558D">
        <w:rPr>
          <w:sz w:val="22"/>
          <w:szCs w:val="22"/>
        </w:rPr>
        <w:t xml:space="preserve">-sensor </w:t>
      </w:r>
      <w:r w:rsidR="00A750B3">
        <w:rPr>
          <w:sz w:val="22"/>
          <w:szCs w:val="22"/>
        </w:rPr>
        <w:t xml:space="preserve">fiber optical </w:t>
      </w:r>
      <w:r w:rsidR="00EB2210" w:rsidRPr="004F558D">
        <w:rPr>
          <w:sz w:val="22"/>
          <w:szCs w:val="22"/>
        </w:rPr>
        <w:t>probe</w:t>
      </w:r>
      <w:r w:rsidR="00FE324B">
        <w:rPr>
          <w:sz w:val="22"/>
          <w:szCs w:val="22"/>
        </w:rPr>
        <w:t>s</w:t>
      </w:r>
      <w:r w:rsidR="00EB2210" w:rsidRPr="004F558D">
        <w:rPr>
          <w:sz w:val="22"/>
          <w:szCs w:val="22"/>
        </w:rPr>
        <w:t xml:space="preserve"> were used</w:t>
      </w:r>
      <w:r w:rsidR="00AC33D2">
        <w:rPr>
          <w:sz w:val="22"/>
          <w:szCs w:val="22"/>
        </w:rPr>
        <w:t xml:space="preserve"> by </w:t>
      </w:r>
      <w:r w:rsidR="003B255C" w:rsidRPr="003B255C">
        <w:rPr>
          <w:sz w:val="22"/>
          <w:szCs w:val="22"/>
        </w:rPr>
        <w:t>(Han et al., 2020; Shen et al., 2019)</w:t>
      </w:r>
      <w:r w:rsidR="00EB2210" w:rsidRPr="004F558D">
        <w:rPr>
          <w:sz w:val="22"/>
          <w:szCs w:val="22"/>
        </w:rPr>
        <w:t xml:space="preserve"> </w:t>
      </w:r>
      <w:r w:rsidR="00746D2C" w:rsidRPr="004F558D">
        <w:rPr>
          <w:sz w:val="22"/>
          <w:szCs w:val="22"/>
        </w:rPr>
        <w:t xml:space="preserve">to </w:t>
      </w:r>
      <w:r w:rsidR="004E3000" w:rsidRPr="004F558D">
        <w:rPr>
          <w:sz w:val="22"/>
          <w:szCs w:val="22"/>
        </w:rPr>
        <w:t xml:space="preserve">investigate the flow behavior </w:t>
      </w:r>
      <w:r w:rsidR="00DA3CE7" w:rsidRPr="004F558D">
        <w:rPr>
          <w:sz w:val="22"/>
          <w:szCs w:val="22"/>
        </w:rPr>
        <w:t>of 6</w:t>
      </w:r>
      <w:r w:rsidR="006903A9" w:rsidRPr="004F558D">
        <w:rPr>
          <w:sz w:val="22"/>
          <w:szCs w:val="22"/>
        </w:rPr>
        <w:t>×</w:t>
      </w:r>
      <w:r w:rsidR="00DA3CE7" w:rsidRPr="004F558D">
        <w:rPr>
          <w:sz w:val="22"/>
          <w:szCs w:val="22"/>
        </w:rPr>
        <w:t>6 rod bundle channel under bubbly flow</w:t>
      </w:r>
      <w:r w:rsidR="00F9190D">
        <w:rPr>
          <w:sz w:val="22"/>
          <w:szCs w:val="22"/>
        </w:rPr>
        <w:t xml:space="preserve">. </w:t>
      </w:r>
      <w:r w:rsidR="00177800">
        <w:rPr>
          <w:sz w:val="22"/>
          <w:szCs w:val="22"/>
        </w:rPr>
        <w:t xml:space="preserve">The </w:t>
      </w:r>
      <w:r w:rsidR="00585533" w:rsidRPr="00585533">
        <w:rPr>
          <w:sz w:val="22"/>
          <w:szCs w:val="22"/>
        </w:rPr>
        <w:t>octant triangular measuring region</w:t>
      </w:r>
      <w:r w:rsidR="00006BFB">
        <w:rPr>
          <w:sz w:val="22"/>
          <w:szCs w:val="22"/>
        </w:rPr>
        <w:t xml:space="preserve"> of </w:t>
      </w:r>
      <w:r w:rsidR="00FF1279" w:rsidRPr="00FF1279">
        <w:rPr>
          <w:sz w:val="22"/>
          <w:szCs w:val="22"/>
        </w:rPr>
        <w:t xml:space="preserve">16 measurement </w:t>
      </w:r>
      <w:r w:rsidR="008F0BF9">
        <w:rPr>
          <w:sz w:val="22"/>
          <w:szCs w:val="22"/>
        </w:rPr>
        <w:t>points</w:t>
      </w:r>
      <w:r w:rsidR="00FF1279" w:rsidRPr="00FF1279">
        <w:rPr>
          <w:sz w:val="22"/>
          <w:szCs w:val="22"/>
        </w:rPr>
        <w:t xml:space="preserve"> were </w:t>
      </w:r>
      <w:r w:rsidR="008F0BF9">
        <w:rPr>
          <w:sz w:val="22"/>
          <w:szCs w:val="22"/>
        </w:rPr>
        <w:t>measured</w:t>
      </w:r>
      <w:r w:rsidR="00FF1279" w:rsidRPr="00FF1279">
        <w:rPr>
          <w:sz w:val="22"/>
          <w:szCs w:val="22"/>
        </w:rPr>
        <w:t xml:space="preserve"> at the </w:t>
      </w:r>
      <w:r w:rsidR="00B6018C">
        <w:rPr>
          <w:sz w:val="22"/>
          <w:szCs w:val="22"/>
        </w:rPr>
        <w:t>subchannels</w:t>
      </w:r>
      <w:r w:rsidR="00C80F28">
        <w:rPr>
          <w:sz w:val="22"/>
          <w:szCs w:val="22"/>
        </w:rPr>
        <w:t>, wall channels</w:t>
      </w:r>
      <w:r w:rsidR="00FE31E4">
        <w:rPr>
          <w:sz w:val="22"/>
          <w:szCs w:val="22"/>
        </w:rPr>
        <w:t>,</w:t>
      </w:r>
      <w:r w:rsidR="00B6018C">
        <w:rPr>
          <w:sz w:val="22"/>
          <w:szCs w:val="22"/>
        </w:rPr>
        <w:t xml:space="preserve"> and the gaps between the rods</w:t>
      </w:r>
      <w:r w:rsidR="00BD66E8">
        <w:rPr>
          <w:sz w:val="22"/>
          <w:szCs w:val="22"/>
        </w:rPr>
        <w:t xml:space="preserve"> </w:t>
      </w:r>
      <w:r w:rsidR="00427BF3">
        <w:rPr>
          <w:sz w:val="22"/>
          <w:szCs w:val="22"/>
        </w:rPr>
        <w:fldChar w:fldCharType="begin" w:fldLock="1"/>
      </w:r>
      <w:r w:rsidR="009D6DFA">
        <w:rPr>
          <w:sz w:val="22"/>
          <w:szCs w:val="22"/>
        </w:rPr>
        <w:instrText>ADDIN CSL_CITATION {"citationItems":[{"id":"ITEM-1","itemData":{"DOI":"10.1007/s42757-019-0031-0","ISSN":"2661-8869","author":[{"dropping-particle":"","family":"Shen","given":"Xiuzhong","non-dropping-particle":"","parse-names":false,"suffix":""},{"dropping-particle":"","family":"Miwa","given":"Shuichiro","non-dropping-particle":"","parse-names":false,"suffix":""},{"dropping-particle":"","family":"Xiao","given":"Yigeng","non-dropping-particle":"","parse-names":false,"suffix":""},{"dropping-particle":"","family":"Han","given":"Xu","non-dropping-particle":"","parse-names":false,"suffix":""},{"dropping-particle":"","family":"Hibiki","given":"Takashi","non-dropping-particle":"","parse-names":false,"suffix":""}],"container-title":"Experimental and Computational Multiphase Flow","id":"ITEM-1","issue":"3","issued":{"date-parts":[["2019"]]},"page":"186-200","title":"Local measurements of upward air-water two-phase flows in a vertical 6×6 rod bundle","type":"article-journal","volume":"1"},"uris":["http://www.mendeley.com/documents/?uuid=c3b499db-1da5-4147-b582-6dad551d877e"]},{"id":"ITEM-2","itemData":{"DOI":"10.1115/icone2020-16740","ISBN":"9784888982566","abstract":"In the present paper, the local two-phase flow parameters were measured with a four-sensor optical probe in adiabatic upward air-water two-phase flows in a 6×6 vertical rod bundle with rod diameter of 10 mm, pitch of 16.7 mm, square channel box side length of 100 mm and hydraulic equivalent diameter (DH) of 18.7 mm. The local measurements were performed in an octant triangular region of the rod bundle cross-section at the axial position with height-to-diameter ratio (z/DH) of 149 under a total of 16 flow conditions. The local void fraction, interfacial area concentration (IAC), bubble diameter and bubble velocity were obtained in the four-sensor probe measurements. Both of the measured void fraction and IAC show their radial local distributions with the core-peaking and wall-peaking shapes which are closely linked with the superficial velocity of two phases. The distribution shapes tend to change from the core-peaking to the wall-peaking when the superficial liquid velocity (&lt;jf&gt;) increases and the superficial gas velocity (&lt;jg&gt;) decreases. The measured diameters of local bubbles keep the similar values in the measuring cross-section, increase when the &lt;jg&gt; increases and decrease when the &lt;jf&gt; increases. The bubbles behave with the velocities whose main flow direction component keeps a typical radial power-law (core-peaking) profile and whose cross-sectional velocity components show a significant trend of bubbles migrating from the center to the wall region of the channel box especially under high &lt;jf&gt; conditions. The area-averaged results of void fraction and IAC were obtained by a cross-sectional area-averaging scheme. The resultant area-averaged void fraction and IAC were used to check the void fraction predicting capability of two drift-flux correlations and the IAC prediction performance of two IAC correlations respectively. The applicability of these correlations to the rod bundle geometry was discussed and concluded finally in this paper.","author":[{"dropping-particle":"","family":"Han","given":"Xu","non-dropping-particle":"","parse-names":false,"suffix":""},{"dropping-particle":"","family":"Shen","given":"Xiuzhong","non-dropping-particle":"","parse-names":false,"suffix":""},{"dropping-particle":"","family":"Yamamoto","given":"Toshihiro","non-dropping-particle":"","parse-names":false,"suffix":""},{"dropping-particle":"","family":"Nakajima","given":"Ken","non-dropping-particle":"","parse-names":false,"suffix":""}],"container-title":"International Conference on Nuclear Engineering, Proceedings, ICONE","id":"ITEM-2","issued":{"date-parts":[["2020"]]},"title":"Flow characteristics of upward two-phase flows in a rod bundle geometry","type":"article-journal","volume":"3"},"uris":["http://www.mendeley.com/documents/?uuid=b9c6beaf-68f5-4087-bbd0-96be3a31ee95"]}],"mendeley":{"formattedCitation":"[16], [17]","plainTextFormattedCitation":"[16], [17]","previouslyFormattedCitation":"[15], [16]"},"properties":{"noteIndex":0},"schema":"https://github.com/citation-style-language/schema/raw/master/csl-citation.json"}</w:instrText>
      </w:r>
      <w:r w:rsidR="00427BF3">
        <w:rPr>
          <w:sz w:val="22"/>
          <w:szCs w:val="22"/>
        </w:rPr>
        <w:fldChar w:fldCharType="separate"/>
      </w:r>
      <w:r w:rsidR="009D6DFA" w:rsidRPr="009D6DFA">
        <w:rPr>
          <w:noProof/>
          <w:sz w:val="22"/>
          <w:szCs w:val="22"/>
        </w:rPr>
        <w:t>[16], [17]</w:t>
      </w:r>
      <w:r w:rsidR="00427BF3">
        <w:rPr>
          <w:sz w:val="22"/>
          <w:szCs w:val="22"/>
        </w:rPr>
        <w:fldChar w:fldCharType="end"/>
      </w:r>
      <w:r w:rsidR="003F5767">
        <w:rPr>
          <w:sz w:val="22"/>
          <w:szCs w:val="22"/>
        </w:rPr>
        <w:t>.</w:t>
      </w:r>
    </w:p>
    <w:p w14:paraId="4572B2F7" w14:textId="47740859" w:rsidR="00781B6A" w:rsidRPr="00BB7497" w:rsidRDefault="004641C3" w:rsidP="00317368">
      <w:pPr>
        <w:pStyle w:val="BodyTextIndent"/>
        <w:rPr>
          <w:sz w:val="22"/>
          <w:szCs w:val="22"/>
        </w:rPr>
      </w:pPr>
      <w:r w:rsidRPr="004641C3">
        <w:rPr>
          <w:sz w:val="22"/>
          <w:szCs w:val="22"/>
        </w:rPr>
        <w:t xml:space="preserve">The purpose of this study </w:t>
      </w:r>
      <w:r w:rsidR="00B76139">
        <w:rPr>
          <w:sz w:val="22"/>
          <w:szCs w:val="22"/>
        </w:rPr>
        <w:t>is</w:t>
      </w:r>
      <w:r w:rsidRPr="004641C3">
        <w:rPr>
          <w:sz w:val="22"/>
          <w:szCs w:val="22"/>
        </w:rPr>
        <w:t xml:space="preserve"> to investigate the local bubble dynamics</w:t>
      </w:r>
      <w:r w:rsidR="0011226C">
        <w:rPr>
          <w:sz w:val="22"/>
          <w:szCs w:val="22"/>
        </w:rPr>
        <w:t xml:space="preserve"> </w:t>
      </w:r>
      <w:r w:rsidR="00637D5B">
        <w:rPr>
          <w:sz w:val="22"/>
          <w:szCs w:val="22"/>
        </w:rPr>
        <w:t xml:space="preserve">including </w:t>
      </w:r>
      <w:r w:rsidR="00637D5B" w:rsidRPr="004641C3">
        <w:rPr>
          <w:sz w:val="22"/>
          <w:szCs w:val="22"/>
        </w:rPr>
        <w:t>void fraction,</w:t>
      </w:r>
      <w:r w:rsidR="008B1493">
        <w:rPr>
          <w:sz w:val="22"/>
          <w:szCs w:val="22"/>
        </w:rPr>
        <w:t xml:space="preserve"> bubble passage frequency</w:t>
      </w:r>
      <w:r w:rsidR="00A549BD">
        <w:rPr>
          <w:sz w:val="22"/>
          <w:szCs w:val="22"/>
        </w:rPr>
        <w:t xml:space="preserve">, </w:t>
      </w:r>
      <w:r w:rsidR="00637D5B" w:rsidRPr="004641C3">
        <w:rPr>
          <w:sz w:val="22"/>
          <w:szCs w:val="22"/>
        </w:rPr>
        <w:t>bubble chord length, interfacial area concentration (IAC), bubble velocity</w:t>
      </w:r>
      <w:r w:rsidR="007A12C9">
        <w:rPr>
          <w:sz w:val="22"/>
          <w:szCs w:val="22"/>
        </w:rPr>
        <w:t xml:space="preserve"> </w:t>
      </w:r>
      <w:r w:rsidR="004E05A1" w:rsidRPr="007A12C9">
        <w:rPr>
          <w:sz w:val="22"/>
          <w:szCs w:val="22"/>
        </w:rPr>
        <w:t>simultaneously</w:t>
      </w:r>
      <w:r w:rsidR="00EC410A">
        <w:rPr>
          <w:sz w:val="22"/>
          <w:szCs w:val="22"/>
        </w:rPr>
        <w:t>.</w:t>
      </w:r>
      <w:r w:rsidR="00A01B91">
        <w:rPr>
          <w:sz w:val="22"/>
          <w:szCs w:val="22"/>
        </w:rPr>
        <w:t xml:space="preserve"> </w:t>
      </w:r>
      <w:r w:rsidR="00B36733">
        <w:rPr>
          <w:sz w:val="22"/>
          <w:szCs w:val="22"/>
        </w:rPr>
        <w:t>A</w:t>
      </w:r>
      <w:r w:rsidR="00B36733" w:rsidRPr="00B36733">
        <w:rPr>
          <w:sz w:val="22"/>
          <w:szCs w:val="22"/>
        </w:rPr>
        <w:t>dditionally</w:t>
      </w:r>
      <w:r w:rsidR="00B36733">
        <w:rPr>
          <w:sz w:val="22"/>
          <w:szCs w:val="22"/>
        </w:rPr>
        <w:t xml:space="preserve">, </w:t>
      </w:r>
      <w:r w:rsidR="00E6718B">
        <w:rPr>
          <w:sz w:val="22"/>
          <w:szCs w:val="22"/>
        </w:rPr>
        <w:t>the spacer</w:t>
      </w:r>
      <w:r w:rsidR="00B36733">
        <w:rPr>
          <w:sz w:val="22"/>
          <w:szCs w:val="22"/>
        </w:rPr>
        <w:t xml:space="preserve"> grid effect has been </w:t>
      </w:r>
      <w:r w:rsidR="008D3616">
        <w:rPr>
          <w:sz w:val="22"/>
          <w:szCs w:val="22"/>
        </w:rPr>
        <w:t>e</w:t>
      </w:r>
      <w:r w:rsidR="008630CA">
        <w:rPr>
          <w:sz w:val="22"/>
          <w:szCs w:val="22"/>
        </w:rPr>
        <w:t>xamined</w:t>
      </w:r>
      <w:r w:rsidR="00E5135A">
        <w:rPr>
          <w:sz w:val="22"/>
          <w:szCs w:val="22"/>
        </w:rPr>
        <w:t xml:space="preserve"> before and just after</w:t>
      </w:r>
      <w:r w:rsidR="00460D2D">
        <w:rPr>
          <w:sz w:val="22"/>
          <w:szCs w:val="22"/>
        </w:rPr>
        <w:t xml:space="preserve"> the spacer grid</w:t>
      </w:r>
      <w:r w:rsidR="00C541AE">
        <w:rPr>
          <w:sz w:val="22"/>
          <w:szCs w:val="22"/>
        </w:rPr>
        <w:t xml:space="preserve"> to evaluate </w:t>
      </w:r>
      <w:r w:rsidR="00802E0C">
        <w:rPr>
          <w:sz w:val="22"/>
          <w:szCs w:val="22"/>
        </w:rPr>
        <w:t xml:space="preserve">its impact on the </w:t>
      </w:r>
      <w:r w:rsidR="004243F7">
        <w:rPr>
          <w:sz w:val="22"/>
          <w:szCs w:val="22"/>
        </w:rPr>
        <w:t>two-phase flow.</w:t>
      </w:r>
      <w:r w:rsidR="00290614">
        <w:rPr>
          <w:sz w:val="22"/>
          <w:szCs w:val="22"/>
        </w:rPr>
        <w:t xml:space="preserve"> </w:t>
      </w:r>
      <w:r w:rsidR="00EC410A">
        <w:rPr>
          <w:sz w:val="22"/>
          <w:szCs w:val="22"/>
        </w:rPr>
        <w:t xml:space="preserve">The </w:t>
      </w:r>
      <w:r w:rsidR="009B60CB">
        <w:rPr>
          <w:sz w:val="22"/>
          <w:szCs w:val="22"/>
        </w:rPr>
        <w:t xml:space="preserve">local </w:t>
      </w:r>
      <w:r w:rsidR="00EC410A">
        <w:rPr>
          <w:sz w:val="22"/>
          <w:szCs w:val="22"/>
        </w:rPr>
        <w:t>measurements</w:t>
      </w:r>
      <w:r w:rsidR="00A12DFF">
        <w:rPr>
          <w:sz w:val="22"/>
          <w:szCs w:val="22"/>
        </w:rPr>
        <w:t xml:space="preserve"> data</w:t>
      </w:r>
      <w:r w:rsidRPr="004641C3">
        <w:rPr>
          <w:sz w:val="22"/>
          <w:szCs w:val="22"/>
        </w:rPr>
        <w:t xml:space="preserve"> of</w:t>
      </w:r>
      <w:r w:rsidR="002F7CA3">
        <w:rPr>
          <w:sz w:val="22"/>
          <w:szCs w:val="22"/>
        </w:rPr>
        <w:t xml:space="preserve"> </w:t>
      </w:r>
      <w:r w:rsidRPr="004641C3">
        <w:rPr>
          <w:sz w:val="22"/>
          <w:szCs w:val="22"/>
        </w:rPr>
        <w:t>5</w:t>
      </w:r>
      <w:r w:rsidR="00ED62EC" w:rsidRPr="00ED62EC">
        <w:rPr>
          <w:sz w:val="22"/>
          <w:szCs w:val="22"/>
        </w:rPr>
        <w:t>×</w:t>
      </w:r>
      <w:r w:rsidRPr="004641C3">
        <w:rPr>
          <w:sz w:val="22"/>
          <w:szCs w:val="22"/>
        </w:rPr>
        <w:t>5 unheated rod bundle</w:t>
      </w:r>
      <w:r w:rsidR="00290614">
        <w:rPr>
          <w:sz w:val="22"/>
          <w:szCs w:val="22"/>
        </w:rPr>
        <w:t xml:space="preserve"> </w:t>
      </w:r>
      <w:r w:rsidR="005A7156">
        <w:rPr>
          <w:sz w:val="22"/>
          <w:szCs w:val="22"/>
        </w:rPr>
        <w:t>was</w:t>
      </w:r>
      <w:r w:rsidR="00290614">
        <w:rPr>
          <w:sz w:val="22"/>
          <w:szCs w:val="22"/>
        </w:rPr>
        <w:t xml:space="preserve"> </w:t>
      </w:r>
      <w:r w:rsidR="008904F8">
        <w:rPr>
          <w:sz w:val="22"/>
          <w:szCs w:val="22"/>
        </w:rPr>
        <w:t>collected</w:t>
      </w:r>
      <w:r w:rsidRPr="004641C3">
        <w:rPr>
          <w:sz w:val="22"/>
          <w:szCs w:val="22"/>
        </w:rPr>
        <w:t xml:space="preserve"> using a four-point optical fiber probe under </w:t>
      </w:r>
      <w:r w:rsidR="00164DA7">
        <w:rPr>
          <w:sz w:val="22"/>
          <w:szCs w:val="22"/>
        </w:rPr>
        <w:t xml:space="preserve">bubbly flow and </w:t>
      </w:r>
      <w:r w:rsidR="00A549BD">
        <w:rPr>
          <w:sz w:val="22"/>
          <w:szCs w:val="22"/>
        </w:rPr>
        <w:t>at</w:t>
      </w:r>
      <w:r w:rsidR="00B428BE" w:rsidRPr="00B428BE">
        <w:rPr>
          <w:sz w:val="22"/>
          <w:szCs w:val="22"/>
        </w:rPr>
        <w:t xml:space="preserve"> </w:t>
      </w:r>
      <w:r w:rsidR="00B428BE">
        <w:rPr>
          <w:sz w:val="22"/>
          <w:szCs w:val="22"/>
        </w:rPr>
        <w:t>different</w:t>
      </w:r>
      <w:r w:rsidRPr="004641C3">
        <w:rPr>
          <w:sz w:val="22"/>
          <w:szCs w:val="22"/>
        </w:rPr>
        <w:t xml:space="preserve"> flow conditions.</w:t>
      </w:r>
    </w:p>
    <w:p w14:paraId="5C4893C8" w14:textId="77777777" w:rsidR="00781B6A" w:rsidRPr="00BB7497" w:rsidRDefault="00781B6A">
      <w:pPr>
        <w:pStyle w:val="BodyTextIndent"/>
        <w:rPr>
          <w:sz w:val="22"/>
          <w:szCs w:val="22"/>
        </w:rPr>
      </w:pPr>
    </w:p>
    <w:p w14:paraId="675A48A1" w14:textId="5BA6D54B" w:rsidR="00781B6A" w:rsidRPr="00BB7497" w:rsidRDefault="00781B6A" w:rsidP="00E93F48">
      <w:pPr>
        <w:pStyle w:val="AbstractClauseTitle"/>
        <w:jc w:val="left"/>
        <w:rPr>
          <w:rFonts w:ascii="Times New Roman" w:hAnsi="Times New Roman"/>
          <w:sz w:val="22"/>
          <w:szCs w:val="22"/>
        </w:rPr>
      </w:pPr>
      <w:r w:rsidRPr="00BB7497">
        <w:rPr>
          <w:rFonts w:ascii="Times New Roman" w:hAnsi="Times New Roman"/>
          <w:sz w:val="22"/>
          <w:szCs w:val="22"/>
        </w:rPr>
        <w:t xml:space="preserve">II. </w:t>
      </w:r>
      <w:r w:rsidR="007B3977" w:rsidRPr="007B3977">
        <w:rPr>
          <w:rFonts w:ascii="Times New Roman" w:hAnsi="Times New Roman"/>
          <w:caps w:val="0"/>
          <w:sz w:val="22"/>
          <w:szCs w:val="22"/>
        </w:rPr>
        <w:t>Experimental facility</w:t>
      </w:r>
    </w:p>
    <w:p w14:paraId="0DA134B0" w14:textId="77777777" w:rsidR="00781B6A" w:rsidRPr="00BB7497" w:rsidRDefault="00781B6A">
      <w:pPr>
        <w:pStyle w:val="BodyTextIndent"/>
        <w:rPr>
          <w:sz w:val="22"/>
          <w:szCs w:val="22"/>
        </w:rPr>
      </w:pPr>
    </w:p>
    <w:p w14:paraId="64D08C39" w14:textId="1369D62F" w:rsidR="007F05B6" w:rsidRDefault="007A1B1F" w:rsidP="00C02482">
      <w:pPr>
        <w:pStyle w:val="BodyTextIndent"/>
        <w:rPr>
          <w:sz w:val="22"/>
          <w:szCs w:val="22"/>
        </w:rPr>
      </w:pPr>
      <w:r>
        <w:rPr>
          <w:sz w:val="22"/>
          <w:szCs w:val="22"/>
        </w:rPr>
        <w:t>The</w:t>
      </w:r>
      <w:r w:rsidR="00587F5E" w:rsidRPr="00587F5E">
        <w:rPr>
          <w:sz w:val="22"/>
          <w:szCs w:val="22"/>
        </w:rPr>
        <w:t xml:space="preserve"> experimental facility has been </w:t>
      </w:r>
      <w:r w:rsidR="00077C14">
        <w:rPr>
          <w:sz w:val="22"/>
          <w:szCs w:val="22"/>
        </w:rPr>
        <w:t>designed</w:t>
      </w:r>
      <w:r>
        <w:rPr>
          <w:sz w:val="22"/>
          <w:szCs w:val="22"/>
        </w:rPr>
        <w:t xml:space="preserve"> and </w:t>
      </w:r>
      <w:r w:rsidR="00D243E0" w:rsidRPr="00587F5E">
        <w:rPr>
          <w:sz w:val="22"/>
          <w:szCs w:val="22"/>
        </w:rPr>
        <w:t>constructed</w:t>
      </w:r>
      <w:r w:rsidR="00332A53">
        <w:rPr>
          <w:sz w:val="22"/>
          <w:szCs w:val="22"/>
        </w:rPr>
        <w:t xml:space="preserve"> in </w:t>
      </w:r>
      <w:r w:rsidR="008B16A9" w:rsidRPr="008B16A9">
        <w:rPr>
          <w:sz w:val="22"/>
          <w:szCs w:val="22"/>
        </w:rPr>
        <w:t xml:space="preserve">Multiphase Flow and Reactors Engineering and Applications Laboratory (mFReal) </w:t>
      </w:r>
      <w:r w:rsidR="00AA7E6A">
        <w:rPr>
          <w:sz w:val="22"/>
          <w:szCs w:val="22"/>
        </w:rPr>
        <w:t>at</w:t>
      </w:r>
      <w:r w:rsidR="008B16A9" w:rsidRPr="008B16A9">
        <w:rPr>
          <w:sz w:val="22"/>
          <w:szCs w:val="22"/>
        </w:rPr>
        <w:t xml:space="preserve"> Missouri University of Science and Technology (MST)</w:t>
      </w:r>
      <w:r w:rsidR="000A47E6">
        <w:rPr>
          <w:sz w:val="22"/>
          <w:szCs w:val="22"/>
        </w:rPr>
        <w:t>.</w:t>
      </w:r>
      <w:r w:rsidR="00124B76">
        <w:rPr>
          <w:sz w:val="22"/>
          <w:szCs w:val="22"/>
        </w:rPr>
        <w:t xml:space="preserve"> </w:t>
      </w:r>
      <w:r w:rsidR="009E5005" w:rsidRPr="009E5005">
        <w:rPr>
          <w:sz w:val="22"/>
          <w:szCs w:val="22"/>
        </w:rPr>
        <w:t>Air and water were chosen as the two-phase working fluids for the experiment, which was conducted under adiabatic conditions with ambient pressure.</w:t>
      </w:r>
      <w:r w:rsidR="005C3FA4">
        <w:rPr>
          <w:sz w:val="22"/>
          <w:szCs w:val="22"/>
        </w:rPr>
        <w:t xml:space="preserve"> </w:t>
      </w:r>
      <w:r w:rsidR="000A47E6">
        <w:rPr>
          <w:sz w:val="22"/>
          <w:szCs w:val="22"/>
        </w:rPr>
        <w:t>The test loop</w:t>
      </w:r>
      <w:r w:rsidR="00411750">
        <w:rPr>
          <w:sz w:val="22"/>
          <w:szCs w:val="22"/>
        </w:rPr>
        <w:t xml:space="preserve"> </w:t>
      </w:r>
      <w:r w:rsidR="00C51186">
        <w:rPr>
          <w:sz w:val="22"/>
          <w:szCs w:val="22"/>
        </w:rPr>
        <w:t>as shown in Fig</w:t>
      </w:r>
      <w:r w:rsidR="00E452AE">
        <w:rPr>
          <w:sz w:val="22"/>
          <w:szCs w:val="22"/>
        </w:rPr>
        <w:t>.</w:t>
      </w:r>
      <w:r w:rsidR="004E7827">
        <w:rPr>
          <w:sz w:val="22"/>
          <w:szCs w:val="22"/>
        </w:rPr>
        <w:t xml:space="preserve"> </w:t>
      </w:r>
      <w:r w:rsidR="00C51186">
        <w:rPr>
          <w:sz w:val="22"/>
          <w:szCs w:val="22"/>
        </w:rPr>
        <w:t xml:space="preserve">1 </w:t>
      </w:r>
      <w:r w:rsidR="00E94745">
        <w:rPr>
          <w:sz w:val="22"/>
          <w:szCs w:val="22"/>
        </w:rPr>
        <w:t xml:space="preserve">is </w:t>
      </w:r>
      <w:r w:rsidR="00411750">
        <w:rPr>
          <w:sz w:val="22"/>
          <w:szCs w:val="22"/>
        </w:rPr>
        <w:t>designed</w:t>
      </w:r>
      <w:r w:rsidR="00D243E0" w:rsidRPr="00587F5E">
        <w:rPr>
          <w:sz w:val="22"/>
          <w:szCs w:val="22"/>
        </w:rPr>
        <w:t xml:space="preserve"> </w:t>
      </w:r>
      <w:r w:rsidR="0029742B">
        <w:rPr>
          <w:sz w:val="22"/>
          <w:szCs w:val="22"/>
        </w:rPr>
        <w:t xml:space="preserve">to be </w:t>
      </w:r>
      <w:r w:rsidR="00B72C2E">
        <w:rPr>
          <w:sz w:val="22"/>
          <w:szCs w:val="22"/>
        </w:rPr>
        <w:t xml:space="preserve">capable </w:t>
      </w:r>
      <w:r w:rsidR="008206A9">
        <w:rPr>
          <w:sz w:val="22"/>
          <w:szCs w:val="22"/>
        </w:rPr>
        <w:t>of</w:t>
      </w:r>
      <w:r w:rsidR="00B72C2E">
        <w:rPr>
          <w:sz w:val="22"/>
          <w:szCs w:val="22"/>
        </w:rPr>
        <w:t xml:space="preserve"> </w:t>
      </w:r>
      <w:r w:rsidR="00986CE1">
        <w:rPr>
          <w:sz w:val="22"/>
          <w:szCs w:val="22"/>
        </w:rPr>
        <w:t>simulating the actual</w:t>
      </w:r>
      <w:r w:rsidR="006F610C">
        <w:rPr>
          <w:sz w:val="22"/>
          <w:szCs w:val="22"/>
        </w:rPr>
        <w:t xml:space="preserve"> </w:t>
      </w:r>
      <w:r w:rsidR="004547C5">
        <w:rPr>
          <w:sz w:val="22"/>
          <w:szCs w:val="22"/>
        </w:rPr>
        <w:t>thermo</w:t>
      </w:r>
      <w:r w:rsidR="0047641F">
        <w:rPr>
          <w:sz w:val="22"/>
          <w:szCs w:val="22"/>
        </w:rPr>
        <w:t>-</w:t>
      </w:r>
      <w:r w:rsidR="0047641F">
        <w:rPr>
          <w:sz w:val="22"/>
          <w:szCs w:val="22"/>
        </w:rPr>
        <w:t xml:space="preserve">hydrodynamic behavior of </w:t>
      </w:r>
      <w:r w:rsidR="00CB7770">
        <w:rPr>
          <w:sz w:val="22"/>
          <w:szCs w:val="22"/>
        </w:rPr>
        <w:t xml:space="preserve">a </w:t>
      </w:r>
      <w:r w:rsidR="00077779">
        <w:rPr>
          <w:sz w:val="22"/>
          <w:szCs w:val="22"/>
        </w:rPr>
        <w:t>5x5</w:t>
      </w:r>
      <w:r w:rsidR="00B97F7C" w:rsidRPr="00EC0E91">
        <w:rPr>
          <w:sz w:val="22"/>
          <w:szCs w:val="22"/>
        </w:rPr>
        <w:t xml:space="preserve"> </w:t>
      </w:r>
      <w:r w:rsidR="00B97F7C" w:rsidRPr="00B97F7C">
        <w:rPr>
          <w:sz w:val="22"/>
          <w:szCs w:val="22"/>
        </w:rPr>
        <w:t>PWSMR</w:t>
      </w:r>
      <w:r w:rsidR="00B97F7C">
        <w:rPr>
          <w:sz w:val="22"/>
          <w:szCs w:val="22"/>
        </w:rPr>
        <w:t xml:space="preserve"> core</w:t>
      </w:r>
      <w:r w:rsidR="006835B9">
        <w:rPr>
          <w:sz w:val="22"/>
          <w:szCs w:val="22"/>
        </w:rPr>
        <w:t xml:space="preserve"> </w:t>
      </w:r>
      <w:r w:rsidR="00F53D1E">
        <w:rPr>
          <w:sz w:val="22"/>
          <w:szCs w:val="22"/>
        </w:rPr>
        <w:t>cover</w:t>
      </w:r>
      <w:r w:rsidR="006835B9">
        <w:rPr>
          <w:sz w:val="22"/>
          <w:szCs w:val="22"/>
        </w:rPr>
        <w:t>ing single</w:t>
      </w:r>
      <w:r w:rsidR="00B72C2E">
        <w:rPr>
          <w:sz w:val="22"/>
          <w:szCs w:val="22"/>
        </w:rPr>
        <w:t>- and two-phase flow</w:t>
      </w:r>
      <w:r w:rsidR="00B334E1">
        <w:rPr>
          <w:sz w:val="22"/>
          <w:szCs w:val="22"/>
        </w:rPr>
        <w:t xml:space="preserve"> experiments</w:t>
      </w:r>
      <w:r w:rsidR="00193214">
        <w:rPr>
          <w:sz w:val="22"/>
          <w:szCs w:val="22"/>
        </w:rPr>
        <w:t>.</w:t>
      </w:r>
      <w:r w:rsidR="00EF3CAD">
        <w:rPr>
          <w:sz w:val="22"/>
          <w:szCs w:val="22"/>
        </w:rPr>
        <w:t xml:space="preserve"> </w:t>
      </w:r>
      <w:r w:rsidR="00EC0E91">
        <w:rPr>
          <w:sz w:val="22"/>
          <w:szCs w:val="22"/>
        </w:rPr>
        <w:t xml:space="preserve"> </w:t>
      </w:r>
    </w:p>
    <w:p w14:paraId="171D9094" w14:textId="77777777" w:rsidR="00067935" w:rsidRDefault="001E1865" w:rsidP="00067935">
      <w:pPr>
        <w:pStyle w:val="BodyTextIndent"/>
        <w:keepNext/>
        <w:spacing w:before="240"/>
        <w:ind w:firstLine="0"/>
      </w:pPr>
      <w:r w:rsidRPr="001E1865">
        <w:rPr>
          <w:noProof/>
        </w:rPr>
        <w:drawing>
          <wp:inline distT="0" distB="0" distL="0" distR="0" wp14:anchorId="4C4B2957" wp14:editId="5FA2FA12">
            <wp:extent cx="3028950" cy="1992630"/>
            <wp:effectExtent l="0" t="0" r="0" b="7620"/>
            <wp:docPr id="20500855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0" cy="1992630"/>
                    </a:xfrm>
                    <a:prstGeom prst="rect">
                      <a:avLst/>
                    </a:prstGeom>
                    <a:noFill/>
                    <a:ln>
                      <a:noFill/>
                    </a:ln>
                  </pic:spPr>
                </pic:pic>
              </a:graphicData>
            </a:graphic>
          </wp:inline>
        </w:drawing>
      </w:r>
    </w:p>
    <w:p w14:paraId="6AE8DECE" w14:textId="406884DD" w:rsidR="007F05B6" w:rsidRPr="003701B1" w:rsidRDefault="007F05B6" w:rsidP="003701B1">
      <w:pPr>
        <w:pStyle w:val="Caption"/>
        <w:jc w:val="center"/>
        <w:rPr>
          <w:b w:val="0"/>
          <w:bCs/>
          <w:i/>
          <w:iCs/>
        </w:rPr>
      </w:pPr>
      <w:r>
        <w:rPr>
          <w:b w:val="0"/>
          <w:bCs/>
          <w:i/>
          <w:iCs/>
        </w:rPr>
        <w:t xml:space="preserve">Figure 1. </w:t>
      </w:r>
      <w:r w:rsidRPr="0038291C">
        <w:rPr>
          <w:b w:val="0"/>
          <w:bCs/>
          <w:i/>
          <w:iCs/>
        </w:rPr>
        <w:t>Flow schematic diagram of the experimental loop system.</w:t>
      </w:r>
    </w:p>
    <w:p w14:paraId="344154D3" w14:textId="069156E3" w:rsidR="002D6D36" w:rsidRDefault="00C12DE7" w:rsidP="00B427FA">
      <w:pPr>
        <w:pStyle w:val="BodyTextIndent"/>
        <w:rPr>
          <w:sz w:val="22"/>
          <w:szCs w:val="22"/>
        </w:rPr>
      </w:pPr>
      <w:r>
        <w:rPr>
          <w:sz w:val="22"/>
          <w:szCs w:val="22"/>
        </w:rPr>
        <w:t>The entire system consists of the test section, water</w:t>
      </w:r>
      <w:r w:rsidR="00EC0E91">
        <w:rPr>
          <w:sz w:val="22"/>
          <w:szCs w:val="22"/>
        </w:rPr>
        <w:t xml:space="preserve"> </w:t>
      </w:r>
      <w:r w:rsidR="007E0461">
        <w:rPr>
          <w:sz w:val="22"/>
          <w:szCs w:val="22"/>
        </w:rPr>
        <w:t xml:space="preserve">pump, water tank, an upper separator tank, flowmeters for water and air, air compressor, valves, and piping. The test section of the rod bundle </w:t>
      </w:r>
      <w:r w:rsidR="00D31D38">
        <w:rPr>
          <w:sz w:val="22"/>
          <w:szCs w:val="22"/>
        </w:rPr>
        <w:t>is</w:t>
      </w:r>
      <w:r w:rsidR="007E0461">
        <w:rPr>
          <w:sz w:val="22"/>
          <w:szCs w:val="22"/>
        </w:rPr>
        <w:t xml:space="preserve"> shown in Fig</w:t>
      </w:r>
      <w:r w:rsidR="004D5612">
        <w:rPr>
          <w:sz w:val="22"/>
          <w:szCs w:val="22"/>
        </w:rPr>
        <w:t xml:space="preserve">. </w:t>
      </w:r>
      <w:r w:rsidR="005E19F2">
        <w:rPr>
          <w:sz w:val="22"/>
          <w:szCs w:val="22"/>
        </w:rPr>
        <w:t>2</w:t>
      </w:r>
      <w:r w:rsidR="00D31D38">
        <w:rPr>
          <w:sz w:val="22"/>
          <w:szCs w:val="22"/>
        </w:rPr>
        <w:t>.</w:t>
      </w:r>
    </w:p>
    <w:p w14:paraId="63F3BA5E" w14:textId="77777777" w:rsidR="002D6D36" w:rsidRDefault="002D6D36" w:rsidP="002D6D36">
      <w:pPr>
        <w:pStyle w:val="BodyTextIndent"/>
        <w:ind w:firstLine="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35"/>
      </w:tblGrid>
      <w:tr w:rsidR="005074B6" w14:paraId="4CB3DBB6" w14:textId="6584B80F" w:rsidTr="005074B6">
        <w:tc>
          <w:tcPr>
            <w:tcW w:w="4225" w:type="dxa"/>
          </w:tcPr>
          <w:p w14:paraId="4FBC9862" w14:textId="1A70C7AD" w:rsidR="005074B6" w:rsidRDefault="005074B6" w:rsidP="00744F88">
            <w:pPr>
              <w:pStyle w:val="BodyTextIndent"/>
              <w:ind w:firstLine="0"/>
              <w:jc w:val="center"/>
              <w:rPr>
                <w:sz w:val="22"/>
                <w:szCs w:val="22"/>
              </w:rPr>
            </w:pPr>
            <w:r w:rsidRPr="00030061">
              <w:rPr>
                <w:noProof/>
                <w:sz w:val="22"/>
                <w:szCs w:val="22"/>
              </w:rPr>
              <w:drawing>
                <wp:inline distT="0" distB="0" distL="0" distR="0" wp14:anchorId="09D86B9C" wp14:editId="2B7B9A4C">
                  <wp:extent cx="1657350" cy="2390475"/>
                  <wp:effectExtent l="0" t="0" r="0" b="0"/>
                  <wp:docPr id="496849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0948" cy="2395665"/>
                          </a:xfrm>
                          <a:prstGeom prst="rect">
                            <a:avLst/>
                          </a:prstGeom>
                          <a:noFill/>
                          <a:ln>
                            <a:noFill/>
                          </a:ln>
                        </pic:spPr>
                      </pic:pic>
                    </a:graphicData>
                  </a:graphic>
                </wp:inline>
              </w:drawing>
            </w:r>
          </w:p>
        </w:tc>
        <w:tc>
          <w:tcPr>
            <w:tcW w:w="535" w:type="dxa"/>
            <w:vAlign w:val="center"/>
          </w:tcPr>
          <w:p w14:paraId="2F961003" w14:textId="335E5C05" w:rsidR="005074B6" w:rsidRPr="00030061" w:rsidRDefault="005074B6" w:rsidP="005074B6">
            <w:pPr>
              <w:pStyle w:val="BodyTextIndent"/>
              <w:ind w:firstLine="0"/>
              <w:jc w:val="center"/>
              <w:rPr>
                <w:noProof/>
                <w:sz w:val="22"/>
                <w:szCs w:val="22"/>
              </w:rPr>
            </w:pPr>
            <w:r>
              <w:rPr>
                <w:noProof/>
                <w:sz w:val="22"/>
                <w:szCs w:val="22"/>
              </w:rPr>
              <w:t>(a)</w:t>
            </w:r>
          </w:p>
        </w:tc>
      </w:tr>
      <w:tr w:rsidR="005074B6" w14:paraId="22EAE26A" w14:textId="77777777" w:rsidTr="005074B6">
        <w:trPr>
          <w:trHeight w:val="107"/>
        </w:trPr>
        <w:tc>
          <w:tcPr>
            <w:tcW w:w="4225" w:type="dxa"/>
          </w:tcPr>
          <w:p w14:paraId="6898E529" w14:textId="77777777" w:rsidR="005074B6" w:rsidRPr="005074B6" w:rsidRDefault="005074B6" w:rsidP="00744F88">
            <w:pPr>
              <w:pStyle w:val="BodyTextIndent"/>
              <w:ind w:firstLine="0"/>
              <w:jc w:val="center"/>
              <w:rPr>
                <w:noProof/>
                <w:sz w:val="12"/>
                <w:szCs w:val="12"/>
              </w:rPr>
            </w:pPr>
          </w:p>
        </w:tc>
        <w:tc>
          <w:tcPr>
            <w:tcW w:w="535" w:type="dxa"/>
            <w:vAlign w:val="center"/>
          </w:tcPr>
          <w:p w14:paraId="4C9C4AB5" w14:textId="77777777" w:rsidR="005074B6" w:rsidRDefault="005074B6" w:rsidP="005074B6">
            <w:pPr>
              <w:pStyle w:val="BodyTextIndent"/>
              <w:ind w:firstLine="0"/>
              <w:jc w:val="center"/>
              <w:rPr>
                <w:noProof/>
                <w:sz w:val="22"/>
                <w:szCs w:val="22"/>
              </w:rPr>
            </w:pPr>
          </w:p>
        </w:tc>
      </w:tr>
      <w:tr w:rsidR="005074B6" w14:paraId="4531F4FF" w14:textId="70E87E73" w:rsidTr="005074B6">
        <w:tc>
          <w:tcPr>
            <w:tcW w:w="4225" w:type="dxa"/>
          </w:tcPr>
          <w:p w14:paraId="52C0B022" w14:textId="5EABB794" w:rsidR="005074B6" w:rsidRDefault="005074B6" w:rsidP="00744F88">
            <w:pPr>
              <w:pStyle w:val="BodyTextIndent"/>
              <w:ind w:firstLine="0"/>
              <w:jc w:val="center"/>
              <w:rPr>
                <w:sz w:val="22"/>
                <w:szCs w:val="22"/>
              </w:rPr>
            </w:pPr>
            <w:r w:rsidRPr="00A72921">
              <w:rPr>
                <w:noProof/>
                <w:sz w:val="22"/>
                <w:szCs w:val="22"/>
              </w:rPr>
              <w:drawing>
                <wp:inline distT="0" distB="0" distL="0" distR="0" wp14:anchorId="210FB179" wp14:editId="2046C400">
                  <wp:extent cx="1817532" cy="1378423"/>
                  <wp:effectExtent l="0" t="0" r="0" b="0"/>
                  <wp:docPr id="68979997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3766" cy="1413487"/>
                          </a:xfrm>
                          <a:prstGeom prst="rect">
                            <a:avLst/>
                          </a:prstGeom>
                          <a:noFill/>
                          <a:ln>
                            <a:noFill/>
                          </a:ln>
                        </pic:spPr>
                      </pic:pic>
                    </a:graphicData>
                  </a:graphic>
                </wp:inline>
              </w:drawing>
            </w:r>
          </w:p>
        </w:tc>
        <w:tc>
          <w:tcPr>
            <w:tcW w:w="535" w:type="dxa"/>
            <w:vAlign w:val="center"/>
          </w:tcPr>
          <w:p w14:paraId="2247EE80" w14:textId="36C786FB" w:rsidR="005074B6" w:rsidRPr="00A72921" w:rsidRDefault="005074B6" w:rsidP="005074B6">
            <w:pPr>
              <w:pStyle w:val="BodyTextIndent"/>
              <w:ind w:firstLine="0"/>
              <w:jc w:val="center"/>
              <w:rPr>
                <w:noProof/>
                <w:sz w:val="22"/>
                <w:szCs w:val="22"/>
              </w:rPr>
            </w:pPr>
            <w:r>
              <w:rPr>
                <w:noProof/>
                <w:sz w:val="22"/>
                <w:szCs w:val="22"/>
              </w:rPr>
              <w:t>(b)</w:t>
            </w:r>
          </w:p>
        </w:tc>
      </w:tr>
      <w:tr w:rsidR="005074B6" w14:paraId="7C3EA9A5" w14:textId="3DC752AD" w:rsidTr="005074B6">
        <w:tc>
          <w:tcPr>
            <w:tcW w:w="4225" w:type="dxa"/>
          </w:tcPr>
          <w:p w14:paraId="1B3FDE44" w14:textId="147D3368" w:rsidR="005074B6" w:rsidRDefault="005074B6" w:rsidP="005074B6">
            <w:pPr>
              <w:pStyle w:val="Caption"/>
              <w:jc w:val="center"/>
              <w:rPr>
                <w:bCs/>
                <w:i/>
                <w:iCs/>
              </w:rPr>
            </w:pPr>
            <w:r w:rsidRPr="005074B6">
              <w:rPr>
                <w:b w:val="0"/>
                <w:bCs/>
                <w:i/>
                <w:iCs/>
              </w:rPr>
              <w:t xml:space="preserve">Figure 2. </w:t>
            </w:r>
            <w:r w:rsidRPr="0011494B">
              <w:rPr>
                <w:b w:val="0"/>
                <w:bCs/>
                <w:i/>
                <w:iCs/>
              </w:rPr>
              <w:t>(a) Schematic diagram of test section. (b) cross-section view of 5x5 rod bundle</w:t>
            </w:r>
          </w:p>
        </w:tc>
        <w:tc>
          <w:tcPr>
            <w:tcW w:w="535" w:type="dxa"/>
          </w:tcPr>
          <w:p w14:paraId="22BB7DE2" w14:textId="77777777" w:rsidR="005074B6" w:rsidRDefault="005074B6" w:rsidP="00AE41B1">
            <w:pPr>
              <w:pStyle w:val="BodyTextIndent"/>
              <w:ind w:firstLine="0"/>
              <w:jc w:val="center"/>
              <w:rPr>
                <w:bCs/>
                <w:i/>
                <w:iCs/>
              </w:rPr>
            </w:pPr>
          </w:p>
        </w:tc>
      </w:tr>
    </w:tbl>
    <w:p w14:paraId="5F2C66E0" w14:textId="77777777" w:rsidR="00044427" w:rsidRDefault="007D6680" w:rsidP="005B73E7">
      <w:pPr>
        <w:pStyle w:val="BodyTextIndent"/>
        <w:rPr>
          <w:sz w:val="22"/>
          <w:szCs w:val="22"/>
        </w:rPr>
      </w:pPr>
      <w:r w:rsidRPr="00E27C02">
        <w:rPr>
          <w:sz w:val="22"/>
          <w:szCs w:val="22"/>
        </w:rPr>
        <w:lastRenderedPageBreak/>
        <w:t>The housing</w:t>
      </w:r>
      <w:r w:rsidR="00E27C02" w:rsidRPr="00E27C02">
        <w:rPr>
          <w:sz w:val="22"/>
          <w:szCs w:val="22"/>
        </w:rPr>
        <w:t xml:space="preserve"> test section comprises a transparent acrylic square tube </w:t>
      </w:r>
      <w:r w:rsidR="00D62409" w:rsidRPr="00D62409">
        <w:rPr>
          <w:sz w:val="22"/>
          <w:szCs w:val="22"/>
        </w:rPr>
        <w:t>with dimensions of</w:t>
      </w:r>
      <w:r w:rsidR="00E27C02" w:rsidRPr="00E27C02">
        <w:rPr>
          <w:sz w:val="22"/>
          <w:szCs w:val="22"/>
        </w:rPr>
        <w:t xml:space="preserve"> 69 mm x 69 mm, with a wall thickness of 3 mm. It comprises various components, including 25 stainless steel rods</w:t>
      </w:r>
      <w:r w:rsidR="00796413">
        <w:rPr>
          <w:sz w:val="22"/>
          <w:szCs w:val="22"/>
        </w:rPr>
        <w:t>, each rod</w:t>
      </w:r>
      <w:r w:rsidR="001F388A">
        <w:rPr>
          <w:sz w:val="22"/>
          <w:szCs w:val="22"/>
        </w:rPr>
        <w:t xml:space="preserve"> diameter D</w:t>
      </w:r>
      <w:r w:rsidR="001F388A" w:rsidRPr="001F388A">
        <w:rPr>
          <w:sz w:val="22"/>
          <w:szCs w:val="22"/>
          <w:vertAlign w:val="subscript"/>
        </w:rPr>
        <w:t>R</w:t>
      </w:r>
      <w:r w:rsidR="001F388A">
        <w:rPr>
          <w:sz w:val="22"/>
          <w:szCs w:val="22"/>
        </w:rPr>
        <w:t xml:space="preserve"> is 9.5</w:t>
      </w:r>
      <w:r w:rsidR="003C5381">
        <w:rPr>
          <w:sz w:val="22"/>
          <w:szCs w:val="22"/>
        </w:rPr>
        <w:t xml:space="preserve"> mm and </w:t>
      </w:r>
      <w:r w:rsidR="00E27C02" w:rsidRPr="00E27C02">
        <w:rPr>
          <w:sz w:val="22"/>
          <w:szCs w:val="22"/>
        </w:rPr>
        <w:t>1</w:t>
      </w:r>
      <w:r w:rsidR="00581BCF">
        <w:rPr>
          <w:sz w:val="22"/>
          <w:szCs w:val="22"/>
        </w:rPr>
        <w:t>.</w:t>
      </w:r>
      <w:r w:rsidR="00E27C02" w:rsidRPr="00E27C02">
        <w:rPr>
          <w:sz w:val="22"/>
          <w:szCs w:val="22"/>
        </w:rPr>
        <w:t xml:space="preserve">5 m in height, a lower tie plate, an upper tie plate, and </w:t>
      </w:r>
      <w:r w:rsidR="009D19FD">
        <w:rPr>
          <w:sz w:val="22"/>
          <w:szCs w:val="22"/>
        </w:rPr>
        <w:t xml:space="preserve">a 3-D printing </w:t>
      </w:r>
      <w:r w:rsidR="00E27C02" w:rsidRPr="00E27C02">
        <w:rPr>
          <w:sz w:val="22"/>
          <w:szCs w:val="22"/>
        </w:rPr>
        <w:t>split</w:t>
      </w:r>
      <w:r w:rsidR="0056302C">
        <w:rPr>
          <w:sz w:val="22"/>
          <w:szCs w:val="22"/>
        </w:rPr>
        <w:t>-type</w:t>
      </w:r>
      <w:r w:rsidR="00E27C02" w:rsidRPr="00E27C02">
        <w:rPr>
          <w:sz w:val="22"/>
          <w:szCs w:val="22"/>
        </w:rPr>
        <w:t xml:space="preserve"> </w:t>
      </w:r>
      <w:r w:rsidR="00EE72CE">
        <w:rPr>
          <w:sz w:val="22"/>
          <w:szCs w:val="22"/>
        </w:rPr>
        <w:t xml:space="preserve">mixing </w:t>
      </w:r>
      <w:r w:rsidR="00E27C02" w:rsidRPr="00E27C02">
        <w:rPr>
          <w:sz w:val="22"/>
          <w:szCs w:val="22"/>
        </w:rPr>
        <w:t>vane spacer grids</w:t>
      </w:r>
      <w:r w:rsidR="00EE72CE">
        <w:rPr>
          <w:sz w:val="22"/>
          <w:szCs w:val="22"/>
        </w:rPr>
        <w:t xml:space="preserve"> (MVSG)</w:t>
      </w:r>
      <w:r w:rsidR="00F22D65">
        <w:rPr>
          <w:sz w:val="22"/>
          <w:szCs w:val="22"/>
        </w:rPr>
        <w:t xml:space="preserve"> </w:t>
      </w:r>
      <w:r w:rsidR="00A737AA">
        <w:rPr>
          <w:sz w:val="22"/>
          <w:szCs w:val="22"/>
        </w:rPr>
        <w:t>as</w:t>
      </w:r>
      <w:r w:rsidR="00B33525">
        <w:rPr>
          <w:sz w:val="22"/>
          <w:szCs w:val="22"/>
        </w:rPr>
        <w:t xml:space="preserve"> in </w:t>
      </w:r>
      <w:r w:rsidR="00F22D65">
        <w:rPr>
          <w:sz w:val="22"/>
          <w:szCs w:val="22"/>
        </w:rPr>
        <w:t>Fig. 3</w:t>
      </w:r>
      <w:r w:rsidR="00E27C02" w:rsidRPr="00E27C02">
        <w:rPr>
          <w:sz w:val="22"/>
          <w:szCs w:val="22"/>
        </w:rPr>
        <w:t>.</w:t>
      </w:r>
    </w:p>
    <w:p w14:paraId="12D51CBE" w14:textId="45737EAF" w:rsidR="00817B7D" w:rsidRDefault="00480F25" w:rsidP="005B73E7">
      <w:pPr>
        <w:pStyle w:val="BodyTextIndent"/>
        <w:rPr>
          <w:sz w:val="22"/>
          <w:szCs w:val="22"/>
        </w:rPr>
      </w:pPr>
      <w:r>
        <w:rPr>
          <w:sz w:val="22"/>
          <w:szCs w:val="22"/>
        </w:rPr>
        <w:t>Table 1 summarized the important physical dimensions</w:t>
      </w:r>
      <w:r w:rsidR="006557D6">
        <w:rPr>
          <w:sz w:val="22"/>
          <w:szCs w:val="22"/>
        </w:rPr>
        <w:t xml:space="preserve"> such </w:t>
      </w:r>
      <w:r w:rsidR="00226BCC">
        <w:rPr>
          <w:sz w:val="22"/>
          <w:szCs w:val="22"/>
        </w:rPr>
        <w:t xml:space="preserve">as </w:t>
      </w:r>
      <w:r w:rsidR="00444402">
        <w:rPr>
          <w:sz w:val="22"/>
          <w:szCs w:val="22"/>
        </w:rPr>
        <w:t>we</w:t>
      </w:r>
      <w:r w:rsidR="001152EF">
        <w:rPr>
          <w:sz w:val="22"/>
          <w:szCs w:val="22"/>
        </w:rPr>
        <w:t xml:space="preserve">tted perimeter </w:t>
      </w:r>
      <w:r w:rsidR="001152EF" w:rsidRPr="001152EF">
        <w:rPr>
          <w:i/>
          <w:iCs/>
          <w:sz w:val="22"/>
          <w:szCs w:val="22"/>
        </w:rPr>
        <w:t>P</w:t>
      </w:r>
      <w:r w:rsidR="001152EF" w:rsidRPr="001152EF">
        <w:rPr>
          <w:i/>
          <w:iCs/>
          <w:sz w:val="22"/>
          <w:szCs w:val="22"/>
          <w:vertAlign w:val="subscript"/>
        </w:rPr>
        <w:t>w</w:t>
      </w:r>
      <w:r w:rsidR="002639CC">
        <w:rPr>
          <w:sz w:val="22"/>
          <w:szCs w:val="22"/>
        </w:rPr>
        <w:t xml:space="preserve">, the flow area </w:t>
      </w:r>
      <w:r w:rsidR="002639CC" w:rsidRPr="000E50C7">
        <w:rPr>
          <w:i/>
          <w:iCs/>
          <w:sz w:val="22"/>
          <w:szCs w:val="22"/>
        </w:rPr>
        <w:t>A</w:t>
      </w:r>
      <w:r w:rsidR="00E843C8" w:rsidRPr="000E50C7">
        <w:rPr>
          <w:i/>
          <w:iCs/>
          <w:sz w:val="22"/>
          <w:szCs w:val="22"/>
          <w:vertAlign w:val="subscript"/>
        </w:rPr>
        <w:t>F</w:t>
      </w:r>
      <w:r w:rsidR="002639CC">
        <w:rPr>
          <w:sz w:val="22"/>
          <w:szCs w:val="22"/>
        </w:rPr>
        <w:t>, the</w:t>
      </w:r>
      <w:r w:rsidR="00247D4C">
        <w:rPr>
          <w:sz w:val="22"/>
          <w:szCs w:val="22"/>
        </w:rPr>
        <w:t xml:space="preserve"> hydraulic diameter </w:t>
      </w:r>
      <w:r w:rsidR="00247D4C" w:rsidRPr="000E50C7">
        <w:rPr>
          <w:i/>
          <w:iCs/>
          <w:sz w:val="22"/>
          <w:szCs w:val="22"/>
        </w:rPr>
        <w:t>D</w:t>
      </w:r>
      <w:r w:rsidR="00247D4C" w:rsidRPr="000E50C7">
        <w:rPr>
          <w:i/>
          <w:iCs/>
          <w:sz w:val="22"/>
          <w:szCs w:val="22"/>
          <w:vertAlign w:val="subscript"/>
        </w:rPr>
        <w:t>H</w:t>
      </w:r>
      <w:r w:rsidR="00E416D1">
        <w:rPr>
          <w:sz w:val="22"/>
          <w:szCs w:val="22"/>
        </w:rPr>
        <w:t xml:space="preserve"> of the </w:t>
      </w:r>
      <w:r w:rsidR="00E74718">
        <w:rPr>
          <w:sz w:val="22"/>
          <w:szCs w:val="22"/>
        </w:rPr>
        <w:t>entire cross-section</w:t>
      </w:r>
      <w:r w:rsidR="00842CA1">
        <w:rPr>
          <w:sz w:val="22"/>
          <w:szCs w:val="22"/>
        </w:rPr>
        <w:t xml:space="preserve">. </w:t>
      </w:r>
      <w:r w:rsidR="000D64EF">
        <w:rPr>
          <w:sz w:val="22"/>
          <w:szCs w:val="22"/>
        </w:rPr>
        <w:t>The hydraulic diameter</w:t>
      </w:r>
      <w:r w:rsidR="004A67B7">
        <w:rPr>
          <w:sz w:val="22"/>
          <w:szCs w:val="22"/>
        </w:rPr>
        <w:t xml:space="preserve"> of the whole</w:t>
      </w:r>
      <w:r w:rsidR="00185E8B">
        <w:rPr>
          <w:sz w:val="22"/>
          <w:szCs w:val="22"/>
        </w:rPr>
        <w:t xml:space="preserve"> cross-</w:t>
      </w:r>
      <w:r w:rsidR="00B04A57">
        <w:rPr>
          <w:sz w:val="22"/>
          <w:szCs w:val="22"/>
        </w:rPr>
        <w:t>section</w:t>
      </w:r>
      <w:r w:rsidR="00994728">
        <w:rPr>
          <w:sz w:val="22"/>
          <w:szCs w:val="22"/>
        </w:rPr>
        <w:t xml:space="preserve"> </w:t>
      </w:r>
      <w:r w:rsidR="007F0F92">
        <w:rPr>
          <w:sz w:val="22"/>
          <w:szCs w:val="22"/>
        </w:rPr>
        <w:t xml:space="preserve">is </w:t>
      </w:r>
      <w:r w:rsidR="00B04A57">
        <w:rPr>
          <w:sz w:val="22"/>
          <w:szCs w:val="22"/>
        </w:rPr>
        <w:t>expressed by</w:t>
      </w:r>
      <w:r w:rsidR="001F2821">
        <w:rPr>
          <w:sz w:val="22"/>
          <w:szCs w:val="22"/>
        </w:rPr>
        <w:t>:</w:t>
      </w:r>
    </w:p>
    <w:p w14:paraId="6D380B97" w14:textId="77777777" w:rsidR="005B73E7" w:rsidRDefault="005B73E7" w:rsidP="005B73E7">
      <w:pPr>
        <w:pStyle w:val="BodyTextInden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473"/>
      </w:tblGrid>
      <w:tr w:rsidR="00817B7D" w14:paraId="012B1E0D" w14:textId="77777777" w:rsidTr="00817B7D">
        <w:tc>
          <w:tcPr>
            <w:tcW w:w="4287" w:type="dxa"/>
          </w:tcPr>
          <w:p w14:paraId="56C49658" w14:textId="46D3A4AE" w:rsidR="00817B7D" w:rsidRDefault="00000000" w:rsidP="00784C72">
            <w:pPr>
              <w:pStyle w:val="BodyTextIndent"/>
              <w:ind w:firstLine="0"/>
              <w:rPr>
                <w:sz w:val="22"/>
                <w:szCs w:val="22"/>
              </w:rPr>
            </w:pPr>
            <m:oMathPara>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H</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4</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F</m:t>
                        </m:r>
                      </m:sub>
                    </m:sSub>
                  </m:num>
                  <m:den>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w</m:t>
                        </m:r>
                      </m:sub>
                    </m:sSub>
                  </m:den>
                </m:f>
              </m:oMath>
            </m:oMathPara>
          </w:p>
        </w:tc>
        <w:tc>
          <w:tcPr>
            <w:tcW w:w="473" w:type="dxa"/>
            <w:vAlign w:val="center"/>
          </w:tcPr>
          <w:p w14:paraId="4EC89C90" w14:textId="77F6DD83" w:rsidR="00817B7D" w:rsidRDefault="00817B7D" w:rsidP="00784C72">
            <w:pPr>
              <w:pStyle w:val="BodyTextIndent"/>
              <w:ind w:firstLine="0"/>
              <w:jc w:val="center"/>
              <w:rPr>
                <w:sz w:val="22"/>
                <w:szCs w:val="22"/>
              </w:rPr>
            </w:pPr>
            <w:r>
              <w:rPr>
                <w:sz w:val="22"/>
                <w:szCs w:val="22"/>
              </w:rPr>
              <w:t>(1)</w:t>
            </w:r>
          </w:p>
        </w:tc>
      </w:tr>
    </w:tbl>
    <w:p w14:paraId="266C58F0" w14:textId="77777777" w:rsidR="00561D4C" w:rsidRDefault="00561D4C" w:rsidP="00B935D7">
      <w:pPr>
        <w:pStyle w:val="BodyTextIndent"/>
        <w:ind w:firstLine="0"/>
        <w:rPr>
          <w:noProof/>
          <w:sz w:val="22"/>
          <w:szCs w:val="22"/>
        </w:rPr>
      </w:pPr>
    </w:p>
    <w:p w14:paraId="7B63D494" w14:textId="092D3E5E" w:rsidR="00A769C3" w:rsidRDefault="00E27C02" w:rsidP="0013701F">
      <w:pPr>
        <w:pStyle w:val="BodyTextIndent"/>
        <w:spacing w:after="240"/>
        <w:rPr>
          <w:sz w:val="22"/>
          <w:szCs w:val="22"/>
          <w:rtl/>
        </w:rPr>
      </w:pPr>
      <w:r w:rsidRPr="00E27C02">
        <w:rPr>
          <w:sz w:val="22"/>
          <w:szCs w:val="22"/>
        </w:rPr>
        <w:t xml:space="preserve">The liquid phase is </w:t>
      </w:r>
      <w:r w:rsidR="001143A3">
        <w:rPr>
          <w:sz w:val="22"/>
          <w:szCs w:val="22"/>
        </w:rPr>
        <w:t>pumped</w:t>
      </w:r>
      <w:r w:rsidRPr="00E27C02">
        <w:rPr>
          <w:sz w:val="22"/>
          <w:szCs w:val="22"/>
        </w:rPr>
        <w:t xml:space="preserve"> from the water tank to the lower part of the test section. </w:t>
      </w:r>
      <w:r w:rsidR="004525ED">
        <w:rPr>
          <w:sz w:val="22"/>
          <w:szCs w:val="22"/>
        </w:rPr>
        <w:t>Then,</w:t>
      </w:r>
      <w:r w:rsidR="00C525EB" w:rsidRPr="00C525EB">
        <w:rPr>
          <w:sz w:val="22"/>
          <w:szCs w:val="22"/>
        </w:rPr>
        <w:t xml:space="preserve"> </w:t>
      </w:r>
      <w:r w:rsidR="00C525EB" w:rsidRPr="00E27C02">
        <w:rPr>
          <w:sz w:val="22"/>
          <w:szCs w:val="22"/>
        </w:rPr>
        <w:t>oil-free dry air</w:t>
      </w:r>
      <w:r w:rsidR="004525ED">
        <w:rPr>
          <w:sz w:val="22"/>
          <w:szCs w:val="22"/>
        </w:rPr>
        <w:t xml:space="preserve"> </w:t>
      </w:r>
      <w:r w:rsidR="00C525EB">
        <w:rPr>
          <w:sz w:val="22"/>
          <w:szCs w:val="22"/>
        </w:rPr>
        <w:t>was</w:t>
      </w:r>
      <w:r w:rsidR="00F43F56">
        <w:rPr>
          <w:sz w:val="22"/>
          <w:szCs w:val="22"/>
        </w:rPr>
        <w:t xml:space="preserve"> </w:t>
      </w:r>
      <w:r w:rsidRPr="00E27C02">
        <w:rPr>
          <w:sz w:val="22"/>
          <w:szCs w:val="22"/>
        </w:rPr>
        <w:t>introduced</w:t>
      </w:r>
      <w:r w:rsidR="0043734E">
        <w:rPr>
          <w:sz w:val="22"/>
          <w:szCs w:val="22"/>
        </w:rPr>
        <w:t xml:space="preserve"> </w:t>
      </w:r>
      <w:r w:rsidR="0043734E" w:rsidRPr="00E27C02">
        <w:rPr>
          <w:sz w:val="22"/>
          <w:szCs w:val="22"/>
        </w:rPr>
        <w:t>continuously</w:t>
      </w:r>
      <w:r w:rsidRPr="00E27C02">
        <w:rPr>
          <w:sz w:val="22"/>
          <w:szCs w:val="22"/>
        </w:rPr>
        <w:t xml:space="preserve"> into the system </w:t>
      </w:r>
      <w:r w:rsidR="00FD1FEC">
        <w:rPr>
          <w:sz w:val="22"/>
          <w:szCs w:val="22"/>
        </w:rPr>
        <w:t>as t</w:t>
      </w:r>
      <w:r w:rsidR="00FD1FEC" w:rsidRPr="00E27C02">
        <w:rPr>
          <w:sz w:val="22"/>
          <w:szCs w:val="22"/>
        </w:rPr>
        <w:t>he gas phase</w:t>
      </w:r>
      <w:r w:rsidR="0043734E">
        <w:rPr>
          <w:sz w:val="22"/>
          <w:szCs w:val="22"/>
        </w:rPr>
        <w:t xml:space="preserve"> </w:t>
      </w:r>
      <w:r w:rsidRPr="00E27C02">
        <w:rPr>
          <w:sz w:val="22"/>
          <w:szCs w:val="22"/>
        </w:rPr>
        <w:t>from the lower part of the apparatus</w:t>
      </w:r>
      <w:r w:rsidR="00863ED1">
        <w:rPr>
          <w:sz w:val="22"/>
          <w:szCs w:val="22"/>
        </w:rPr>
        <w:t xml:space="preserve"> to</w:t>
      </w:r>
      <w:r w:rsidR="00B47EF9">
        <w:rPr>
          <w:sz w:val="22"/>
          <w:szCs w:val="22"/>
        </w:rPr>
        <w:t xml:space="preserve"> mix it with the water in the mixture chamber</w:t>
      </w:r>
      <w:r w:rsidRPr="00E27C02">
        <w:rPr>
          <w:sz w:val="22"/>
          <w:szCs w:val="22"/>
        </w:rPr>
        <w:t>.</w:t>
      </w:r>
    </w:p>
    <w:tbl>
      <w:tblPr>
        <w:tblStyle w:val="TableGrid"/>
        <w:tblW w:w="4860" w:type="dxa"/>
        <w:tblLook w:val="04A0" w:firstRow="1" w:lastRow="0" w:firstColumn="1" w:lastColumn="0" w:noHBand="0" w:noVBand="1"/>
      </w:tblPr>
      <w:tblGrid>
        <w:gridCol w:w="2965"/>
        <w:gridCol w:w="1895"/>
      </w:tblGrid>
      <w:tr w:rsidR="00862FD3" w14:paraId="1E81B8A4" w14:textId="77777777" w:rsidTr="00CE6EC6">
        <w:tc>
          <w:tcPr>
            <w:tcW w:w="4860" w:type="dxa"/>
            <w:gridSpan w:val="2"/>
            <w:tcBorders>
              <w:top w:val="nil"/>
              <w:left w:val="nil"/>
              <w:bottom w:val="single" w:sz="4" w:space="0" w:color="auto"/>
              <w:right w:val="nil"/>
            </w:tcBorders>
          </w:tcPr>
          <w:p w14:paraId="28068DFC" w14:textId="65A6B701" w:rsidR="00862FD3" w:rsidRPr="00862FD3" w:rsidRDefault="00862FD3" w:rsidP="00862FD3">
            <w:pPr>
              <w:pStyle w:val="BodyTextIndent"/>
              <w:jc w:val="left"/>
              <w:rPr>
                <w:i/>
                <w:iCs/>
              </w:rPr>
            </w:pPr>
            <w:r>
              <w:rPr>
                <w:i/>
                <w:iCs/>
              </w:rPr>
              <w:t xml:space="preserve">Table </w:t>
            </w:r>
            <w:r>
              <w:rPr>
                <w:i/>
                <w:iCs/>
              </w:rPr>
              <w:fldChar w:fldCharType="begin"/>
            </w:r>
            <w:r>
              <w:rPr>
                <w:i/>
                <w:iCs/>
              </w:rPr>
              <w:instrText xml:space="preserve"> SEQ Table \* ARABIC </w:instrText>
            </w:r>
            <w:r>
              <w:rPr>
                <w:i/>
                <w:iCs/>
              </w:rPr>
              <w:fldChar w:fldCharType="separate"/>
            </w:r>
            <w:r w:rsidR="00507DC4">
              <w:rPr>
                <w:i/>
                <w:iCs/>
                <w:noProof/>
              </w:rPr>
              <w:t>1</w:t>
            </w:r>
            <w:r>
              <w:rPr>
                <w:i/>
                <w:iCs/>
              </w:rPr>
              <w:fldChar w:fldCharType="end"/>
            </w:r>
            <w:r>
              <w:rPr>
                <w:i/>
                <w:iCs/>
              </w:rPr>
              <w:t xml:space="preserve"> Important physical dimensions of test section</w:t>
            </w:r>
          </w:p>
        </w:tc>
      </w:tr>
      <w:tr w:rsidR="00C4452A" w14:paraId="01DCA617" w14:textId="77777777" w:rsidTr="00CE6EC6">
        <w:tc>
          <w:tcPr>
            <w:tcW w:w="2965" w:type="dxa"/>
            <w:tcBorders>
              <w:top w:val="single" w:sz="4" w:space="0" w:color="auto"/>
            </w:tcBorders>
          </w:tcPr>
          <w:p w14:paraId="0A61EAB9" w14:textId="64D6388D" w:rsidR="00C4452A" w:rsidRDefault="00C53139" w:rsidP="00C62F68">
            <w:pPr>
              <w:pStyle w:val="BodyTextIndent"/>
              <w:ind w:firstLine="0"/>
              <w:rPr>
                <w:sz w:val="22"/>
                <w:szCs w:val="22"/>
              </w:rPr>
            </w:pPr>
            <w:r>
              <w:rPr>
                <w:sz w:val="22"/>
                <w:szCs w:val="22"/>
              </w:rPr>
              <w:t xml:space="preserve">Wetted perimeter </w:t>
            </w:r>
            <w:r>
              <w:rPr>
                <w:i/>
                <w:iCs/>
                <w:sz w:val="22"/>
                <w:szCs w:val="22"/>
              </w:rPr>
              <w:t>P</w:t>
            </w:r>
            <w:r>
              <w:rPr>
                <w:i/>
                <w:iCs/>
                <w:sz w:val="22"/>
                <w:szCs w:val="22"/>
                <w:vertAlign w:val="subscript"/>
              </w:rPr>
              <w:t>w</w:t>
            </w:r>
          </w:p>
        </w:tc>
        <w:tc>
          <w:tcPr>
            <w:tcW w:w="1895" w:type="dxa"/>
            <w:tcBorders>
              <w:top w:val="single" w:sz="4" w:space="0" w:color="auto"/>
            </w:tcBorders>
          </w:tcPr>
          <w:p w14:paraId="69767E6A" w14:textId="104767D9" w:rsidR="00C4452A" w:rsidRDefault="004F490F" w:rsidP="00C62F68">
            <w:pPr>
              <w:pStyle w:val="BodyTextIndent"/>
              <w:ind w:firstLine="0"/>
              <w:rPr>
                <w:sz w:val="22"/>
                <w:szCs w:val="22"/>
              </w:rPr>
            </w:pPr>
            <w:r>
              <w:rPr>
                <w:sz w:val="22"/>
                <w:szCs w:val="22"/>
              </w:rPr>
              <w:t>1.0255 m</w:t>
            </w:r>
          </w:p>
        </w:tc>
      </w:tr>
      <w:tr w:rsidR="00C4452A" w14:paraId="65DDD70D" w14:textId="77777777" w:rsidTr="00CE6EC6">
        <w:tc>
          <w:tcPr>
            <w:tcW w:w="2965" w:type="dxa"/>
          </w:tcPr>
          <w:p w14:paraId="08DC8452" w14:textId="6BDD6A31" w:rsidR="00C4452A" w:rsidRDefault="00472383" w:rsidP="00C62F68">
            <w:pPr>
              <w:pStyle w:val="BodyTextIndent"/>
              <w:ind w:firstLine="0"/>
              <w:rPr>
                <w:sz w:val="22"/>
                <w:szCs w:val="22"/>
              </w:rPr>
            </w:pPr>
            <w:r>
              <w:rPr>
                <w:sz w:val="22"/>
                <w:szCs w:val="22"/>
              </w:rPr>
              <w:t xml:space="preserve">Rod diameter </w:t>
            </w:r>
            <w:r>
              <w:rPr>
                <w:i/>
                <w:iCs/>
                <w:sz w:val="22"/>
                <w:szCs w:val="22"/>
              </w:rPr>
              <w:t>D</w:t>
            </w:r>
            <w:r>
              <w:rPr>
                <w:i/>
                <w:iCs/>
                <w:sz w:val="22"/>
                <w:szCs w:val="22"/>
                <w:vertAlign w:val="subscript"/>
              </w:rPr>
              <w:t>R</w:t>
            </w:r>
          </w:p>
        </w:tc>
        <w:tc>
          <w:tcPr>
            <w:tcW w:w="1895" w:type="dxa"/>
          </w:tcPr>
          <w:p w14:paraId="0ECCE79B" w14:textId="6D227C25" w:rsidR="00C4452A" w:rsidRDefault="00BF714E" w:rsidP="00BF714E">
            <w:pPr>
              <w:pStyle w:val="BodyTextIndent"/>
              <w:ind w:firstLine="0"/>
              <w:rPr>
                <w:sz w:val="22"/>
                <w:szCs w:val="22"/>
              </w:rPr>
            </w:pPr>
            <w:r>
              <w:rPr>
                <w:sz w:val="22"/>
                <w:szCs w:val="22"/>
              </w:rPr>
              <w:t>0.0095 m</w:t>
            </w:r>
          </w:p>
        </w:tc>
      </w:tr>
      <w:tr w:rsidR="00C4452A" w14:paraId="300D1E24" w14:textId="77777777" w:rsidTr="00CE6EC6">
        <w:tc>
          <w:tcPr>
            <w:tcW w:w="2965" w:type="dxa"/>
          </w:tcPr>
          <w:p w14:paraId="0A8FEFB2" w14:textId="7E9D435D" w:rsidR="00C4452A" w:rsidRDefault="00472383" w:rsidP="004F490F">
            <w:pPr>
              <w:pStyle w:val="BodyTextIndent"/>
              <w:ind w:firstLine="0"/>
              <w:rPr>
                <w:sz w:val="22"/>
                <w:szCs w:val="22"/>
              </w:rPr>
            </w:pPr>
            <w:r>
              <w:rPr>
                <w:sz w:val="22"/>
                <w:szCs w:val="22"/>
              </w:rPr>
              <w:t xml:space="preserve">Pitch-to-Diameter rate </w:t>
            </w:r>
            <w:r>
              <w:rPr>
                <w:i/>
                <w:iCs/>
                <w:sz w:val="22"/>
                <w:szCs w:val="22"/>
              </w:rPr>
              <w:t>P/D</w:t>
            </w:r>
          </w:p>
        </w:tc>
        <w:tc>
          <w:tcPr>
            <w:tcW w:w="1895" w:type="dxa"/>
          </w:tcPr>
          <w:p w14:paraId="4EEB32EA" w14:textId="7A3B5B1F" w:rsidR="00C4452A" w:rsidRDefault="00BF714E" w:rsidP="00C62F68">
            <w:pPr>
              <w:pStyle w:val="BodyTextIndent"/>
              <w:ind w:firstLine="0"/>
              <w:rPr>
                <w:sz w:val="22"/>
                <w:szCs w:val="22"/>
              </w:rPr>
            </w:pPr>
            <w:r>
              <w:rPr>
                <w:sz w:val="22"/>
                <w:szCs w:val="22"/>
              </w:rPr>
              <w:t>1.33</w:t>
            </w:r>
          </w:p>
        </w:tc>
      </w:tr>
      <w:tr w:rsidR="00C4452A" w14:paraId="728A04FB" w14:textId="77777777" w:rsidTr="00CE6EC6">
        <w:tc>
          <w:tcPr>
            <w:tcW w:w="2965" w:type="dxa"/>
          </w:tcPr>
          <w:p w14:paraId="024A0A79" w14:textId="175A87DA" w:rsidR="00C4452A" w:rsidRDefault="00472383" w:rsidP="00C62F68">
            <w:pPr>
              <w:pStyle w:val="BodyTextIndent"/>
              <w:ind w:firstLine="0"/>
              <w:rPr>
                <w:sz w:val="22"/>
                <w:szCs w:val="22"/>
              </w:rPr>
            </w:pPr>
            <w:r>
              <w:rPr>
                <w:sz w:val="22"/>
                <w:szCs w:val="22"/>
              </w:rPr>
              <w:t xml:space="preserve">Flow area </w:t>
            </w:r>
            <w:r>
              <w:rPr>
                <w:i/>
                <w:iCs/>
                <w:sz w:val="22"/>
                <w:szCs w:val="22"/>
              </w:rPr>
              <w:t>A</w:t>
            </w:r>
            <w:r>
              <w:rPr>
                <w:i/>
                <w:iCs/>
                <w:sz w:val="22"/>
                <w:szCs w:val="22"/>
                <w:vertAlign w:val="subscript"/>
              </w:rPr>
              <w:t>F</w:t>
            </w:r>
          </w:p>
        </w:tc>
        <w:tc>
          <w:tcPr>
            <w:tcW w:w="1895" w:type="dxa"/>
          </w:tcPr>
          <w:p w14:paraId="6D806AB1" w14:textId="0104FA96" w:rsidR="00C4452A" w:rsidRDefault="00BF714E" w:rsidP="00C62F68">
            <w:pPr>
              <w:pStyle w:val="BodyTextIndent"/>
              <w:ind w:firstLine="0"/>
              <w:rPr>
                <w:sz w:val="22"/>
                <w:szCs w:val="22"/>
              </w:rPr>
            </w:pPr>
            <w:r>
              <w:rPr>
                <w:sz w:val="22"/>
                <w:szCs w:val="22"/>
              </w:rPr>
              <w:t>0.0031 m</w:t>
            </w:r>
            <w:r>
              <w:rPr>
                <w:sz w:val="22"/>
                <w:szCs w:val="22"/>
                <w:vertAlign w:val="superscript"/>
              </w:rPr>
              <w:t>2</w:t>
            </w:r>
          </w:p>
        </w:tc>
      </w:tr>
      <w:tr w:rsidR="00113EBE" w14:paraId="33E6B308" w14:textId="77777777" w:rsidTr="00CE6EC6">
        <w:tc>
          <w:tcPr>
            <w:tcW w:w="2965" w:type="dxa"/>
          </w:tcPr>
          <w:p w14:paraId="24C24C69" w14:textId="62E56A91" w:rsidR="00113EBE" w:rsidRDefault="00113EBE" w:rsidP="00113EBE">
            <w:pPr>
              <w:pStyle w:val="BodyTextIndent"/>
              <w:ind w:firstLine="0"/>
              <w:rPr>
                <w:sz w:val="22"/>
                <w:szCs w:val="22"/>
              </w:rPr>
            </w:pPr>
            <w:r>
              <w:rPr>
                <w:sz w:val="22"/>
                <w:szCs w:val="22"/>
              </w:rPr>
              <w:t xml:space="preserve">Hydraulic diameter </w:t>
            </w:r>
            <w:r>
              <w:rPr>
                <w:i/>
                <w:iCs/>
                <w:sz w:val="22"/>
                <w:szCs w:val="22"/>
              </w:rPr>
              <w:t>D</w:t>
            </w:r>
            <w:r>
              <w:rPr>
                <w:i/>
                <w:iCs/>
                <w:sz w:val="22"/>
                <w:szCs w:val="22"/>
                <w:vertAlign w:val="subscript"/>
              </w:rPr>
              <w:t>H</w:t>
            </w:r>
          </w:p>
        </w:tc>
        <w:tc>
          <w:tcPr>
            <w:tcW w:w="1895" w:type="dxa"/>
          </w:tcPr>
          <w:p w14:paraId="4CFA283E" w14:textId="1C2595D9" w:rsidR="00113EBE" w:rsidRDefault="00BF714E" w:rsidP="00C62F68">
            <w:pPr>
              <w:pStyle w:val="BodyTextIndent"/>
              <w:ind w:firstLine="0"/>
              <w:rPr>
                <w:sz w:val="22"/>
                <w:szCs w:val="22"/>
              </w:rPr>
            </w:pPr>
            <w:r>
              <w:rPr>
                <w:sz w:val="22"/>
                <w:szCs w:val="22"/>
              </w:rPr>
              <w:t>0.012</w:t>
            </w:r>
            <w:r w:rsidR="005007BE">
              <w:rPr>
                <w:sz w:val="22"/>
                <w:szCs w:val="22"/>
              </w:rPr>
              <w:t xml:space="preserve"> m</w:t>
            </w:r>
          </w:p>
        </w:tc>
      </w:tr>
    </w:tbl>
    <w:p w14:paraId="60D986CE" w14:textId="14B19312" w:rsidR="00C62F68" w:rsidRDefault="00E27C02" w:rsidP="00C62F68">
      <w:pPr>
        <w:pStyle w:val="BodyTextIndent"/>
        <w:ind w:firstLine="0"/>
        <w:rPr>
          <w:sz w:val="22"/>
          <w:szCs w:val="22"/>
        </w:rPr>
      </w:pPr>
      <w:r w:rsidRPr="00E27C02">
        <w:rPr>
          <w:sz w:val="22"/>
          <w:szCs w:val="22"/>
        </w:rPr>
        <w:t xml:space="preserve"> </w:t>
      </w:r>
    </w:p>
    <w:p w14:paraId="14334AF8" w14:textId="55C6D55D" w:rsidR="00C62F68" w:rsidRDefault="00C62F68" w:rsidP="00C62F68">
      <w:pPr>
        <w:pStyle w:val="BodyTextIndent"/>
        <w:ind w:firstLine="0"/>
        <w:jc w:val="center"/>
        <w:rPr>
          <w:sz w:val="22"/>
          <w:szCs w:val="22"/>
        </w:rPr>
      </w:pPr>
      <w:r>
        <w:rPr>
          <w:noProof/>
          <w:sz w:val="22"/>
          <w:szCs w:val="22"/>
        </w:rPr>
        <w:drawing>
          <wp:inline distT="0" distB="0" distL="0" distR="0" wp14:anchorId="47F4320B" wp14:editId="56EF7650">
            <wp:extent cx="2334885" cy="2608288"/>
            <wp:effectExtent l="0" t="0" r="8890" b="0"/>
            <wp:docPr id="878066161" name="Picture 12" descr="A white square object with spik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66161" name="Picture 12" descr="A white square object with spikes&#10;&#10;Description automatically generated"/>
                    <pic:cNvPicPr>
                      <a:picLocks noChangeAspect="1" noChangeArrowheads="1"/>
                    </pic:cNvPicPr>
                  </pic:nvPicPr>
                  <pic:blipFill rotWithShape="1">
                    <a:blip r:embed="rId16">
                      <a:extLst>
                        <a:ext uri="{28A0092B-C50C-407E-A947-70E740481C1C}">
                          <a14:useLocalDpi xmlns:a14="http://schemas.microsoft.com/office/drawing/2010/main" val="0"/>
                        </a:ext>
                      </a:extLst>
                    </a:blip>
                    <a:srcRect l="9718" t="5971" r="5016" b="3264"/>
                    <a:stretch/>
                  </pic:blipFill>
                  <pic:spPr bwMode="auto">
                    <a:xfrm>
                      <a:off x="0" y="0"/>
                      <a:ext cx="2337136" cy="2610802"/>
                    </a:xfrm>
                    <a:prstGeom prst="rect">
                      <a:avLst/>
                    </a:prstGeom>
                    <a:noFill/>
                    <a:ln>
                      <a:noFill/>
                    </a:ln>
                    <a:extLst>
                      <a:ext uri="{53640926-AAD7-44D8-BBD7-CCE9431645EC}">
                        <a14:shadowObscured xmlns:a14="http://schemas.microsoft.com/office/drawing/2010/main"/>
                      </a:ext>
                    </a:extLst>
                  </pic:spPr>
                </pic:pic>
              </a:graphicData>
            </a:graphic>
          </wp:inline>
        </w:drawing>
      </w:r>
    </w:p>
    <w:p w14:paraId="3E203ED7" w14:textId="400F17AE" w:rsidR="00C62F68" w:rsidRPr="00C62F68" w:rsidRDefault="00C62F68" w:rsidP="00C62F68">
      <w:pPr>
        <w:pStyle w:val="Caption"/>
        <w:jc w:val="center"/>
        <w:rPr>
          <w:b w:val="0"/>
          <w:bCs/>
          <w:i/>
          <w:iCs/>
        </w:rPr>
      </w:pPr>
      <w:r>
        <w:rPr>
          <w:b w:val="0"/>
          <w:bCs/>
          <w:i/>
          <w:iCs/>
        </w:rPr>
        <w:t xml:space="preserve">Figure 3. </w:t>
      </w:r>
      <w:r w:rsidRPr="00065561">
        <w:rPr>
          <w:b w:val="0"/>
          <w:bCs/>
          <w:i/>
          <w:iCs/>
        </w:rPr>
        <w:t>3-D printing mixing vane spacer grid</w:t>
      </w:r>
    </w:p>
    <w:p w14:paraId="595E59F6" w14:textId="2F878241" w:rsidR="00F87CE3" w:rsidRDefault="00C62F68" w:rsidP="00B427FA">
      <w:pPr>
        <w:pStyle w:val="BodyTextIndent"/>
        <w:rPr>
          <w:sz w:val="22"/>
          <w:szCs w:val="22"/>
        </w:rPr>
      </w:pPr>
      <w:r w:rsidRPr="00E27C02">
        <w:rPr>
          <w:sz w:val="22"/>
          <w:szCs w:val="22"/>
        </w:rPr>
        <w:t xml:space="preserve">The flow rate of the </w:t>
      </w:r>
      <w:r>
        <w:rPr>
          <w:sz w:val="22"/>
          <w:szCs w:val="22"/>
        </w:rPr>
        <w:t xml:space="preserve">water and </w:t>
      </w:r>
      <w:r w:rsidRPr="00E27C02">
        <w:rPr>
          <w:sz w:val="22"/>
          <w:szCs w:val="22"/>
        </w:rPr>
        <w:t>gas phase</w:t>
      </w:r>
      <w:r>
        <w:rPr>
          <w:sz w:val="22"/>
          <w:szCs w:val="22"/>
        </w:rPr>
        <w:t>s</w:t>
      </w:r>
      <w:r w:rsidRPr="00E27C02">
        <w:rPr>
          <w:sz w:val="22"/>
          <w:szCs w:val="22"/>
        </w:rPr>
        <w:t xml:space="preserve"> is controlled </w:t>
      </w:r>
      <w:r w:rsidR="00E27C02" w:rsidRPr="00E27C02">
        <w:rPr>
          <w:sz w:val="22"/>
          <w:szCs w:val="22"/>
        </w:rPr>
        <w:t>by a set of calibrated rotameters. The air is</w:t>
      </w:r>
      <w:r w:rsidR="00004543">
        <w:rPr>
          <w:sz w:val="22"/>
          <w:szCs w:val="22"/>
        </w:rPr>
        <w:t xml:space="preserve"> </w:t>
      </w:r>
      <w:r w:rsidR="00004543">
        <w:rPr>
          <w:sz w:val="22"/>
          <w:szCs w:val="22"/>
        </w:rPr>
        <w:t>then</w:t>
      </w:r>
      <w:r w:rsidR="00E27C02" w:rsidRPr="00E27C02">
        <w:rPr>
          <w:sz w:val="22"/>
          <w:szCs w:val="22"/>
        </w:rPr>
        <w:t xml:space="preserve"> separated and subsequently discharged into the atmosphere at the outlet of the test section, while the water is returned to the water tank.</w:t>
      </w:r>
      <w:r w:rsidR="00972F9E">
        <w:rPr>
          <w:sz w:val="22"/>
          <w:szCs w:val="22"/>
        </w:rPr>
        <w:t xml:space="preserve"> </w:t>
      </w:r>
      <w:r w:rsidR="00707A90">
        <w:rPr>
          <w:sz w:val="22"/>
          <w:szCs w:val="22"/>
        </w:rPr>
        <w:t>Therefor</w:t>
      </w:r>
      <w:r w:rsidR="00704EA0">
        <w:rPr>
          <w:sz w:val="22"/>
          <w:szCs w:val="22"/>
        </w:rPr>
        <w:t>e,</w:t>
      </w:r>
      <w:r w:rsidR="005158F3">
        <w:rPr>
          <w:sz w:val="22"/>
          <w:szCs w:val="22"/>
        </w:rPr>
        <w:t xml:space="preserve"> </w:t>
      </w:r>
      <w:r w:rsidR="00704EA0">
        <w:rPr>
          <w:sz w:val="22"/>
          <w:szCs w:val="22"/>
        </w:rPr>
        <w:t>t</w:t>
      </w:r>
      <w:r w:rsidR="005F026B">
        <w:rPr>
          <w:sz w:val="22"/>
          <w:szCs w:val="22"/>
        </w:rPr>
        <w:t xml:space="preserve">he </w:t>
      </w:r>
      <w:r w:rsidR="008919D7">
        <w:rPr>
          <w:sz w:val="22"/>
          <w:szCs w:val="22"/>
        </w:rPr>
        <w:t xml:space="preserve">experiments </w:t>
      </w:r>
      <w:r w:rsidR="0077350E">
        <w:rPr>
          <w:sz w:val="22"/>
          <w:szCs w:val="22"/>
        </w:rPr>
        <w:t xml:space="preserve">were </w:t>
      </w:r>
      <w:r w:rsidR="00E023C5">
        <w:rPr>
          <w:sz w:val="22"/>
          <w:szCs w:val="22"/>
        </w:rPr>
        <w:t xml:space="preserve">conducted under </w:t>
      </w:r>
      <w:r w:rsidR="00CB6BFC">
        <w:rPr>
          <w:sz w:val="22"/>
          <w:szCs w:val="22"/>
        </w:rPr>
        <w:t>three</w:t>
      </w:r>
      <w:r w:rsidR="00E023C5">
        <w:rPr>
          <w:sz w:val="22"/>
          <w:szCs w:val="22"/>
        </w:rPr>
        <w:t xml:space="preserve"> </w:t>
      </w:r>
      <w:r w:rsidR="00C37613">
        <w:rPr>
          <w:sz w:val="22"/>
          <w:szCs w:val="22"/>
        </w:rPr>
        <w:t xml:space="preserve">operation conditions </w:t>
      </w:r>
      <w:r w:rsidR="009E2452">
        <w:rPr>
          <w:sz w:val="22"/>
          <w:szCs w:val="22"/>
        </w:rPr>
        <w:t>(</w:t>
      </w:r>
      <w:r w:rsidR="00992302" w:rsidRPr="00940F0A">
        <w:rPr>
          <w:rFonts w:asciiTheme="majorHAnsi" w:hAnsiTheme="majorHAnsi"/>
          <w:i/>
          <w:iCs/>
          <w:sz w:val="22"/>
          <w:szCs w:val="22"/>
        </w:rPr>
        <w:t>J</w:t>
      </w:r>
      <w:r w:rsidR="00F468F9" w:rsidRPr="00940F0A">
        <w:rPr>
          <w:rFonts w:asciiTheme="majorHAnsi" w:hAnsiTheme="majorHAnsi"/>
          <w:i/>
          <w:iCs/>
          <w:sz w:val="22"/>
          <w:szCs w:val="22"/>
          <w:vertAlign w:val="subscript"/>
        </w:rPr>
        <w:t>f</w:t>
      </w:r>
      <w:r w:rsidR="00F64F69">
        <w:rPr>
          <w:sz w:val="22"/>
          <w:szCs w:val="22"/>
        </w:rPr>
        <w:t xml:space="preserve"> </w:t>
      </w:r>
      <w:r w:rsidR="00992302">
        <w:rPr>
          <w:sz w:val="22"/>
          <w:szCs w:val="22"/>
        </w:rPr>
        <w:t>=</w:t>
      </w:r>
      <w:r w:rsidR="00306D93">
        <w:rPr>
          <w:sz w:val="22"/>
          <w:szCs w:val="22"/>
        </w:rPr>
        <w:t xml:space="preserve"> </w:t>
      </w:r>
      <w:r w:rsidR="00972F9E">
        <w:rPr>
          <w:sz w:val="22"/>
          <w:szCs w:val="22"/>
        </w:rPr>
        <w:t>0.</w:t>
      </w:r>
      <w:r w:rsidR="00F468F9">
        <w:rPr>
          <w:sz w:val="22"/>
          <w:szCs w:val="22"/>
        </w:rPr>
        <w:t>3</w:t>
      </w:r>
      <w:r w:rsidR="00F84D59">
        <w:rPr>
          <w:sz w:val="22"/>
          <w:szCs w:val="22"/>
        </w:rPr>
        <w:t xml:space="preserve"> m/s</w:t>
      </w:r>
      <w:r w:rsidR="00D70126">
        <w:rPr>
          <w:sz w:val="22"/>
          <w:szCs w:val="22"/>
        </w:rPr>
        <w:t>,</w:t>
      </w:r>
      <w:r w:rsidR="007F3DD5">
        <w:rPr>
          <w:sz w:val="22"/>
          <w:szCs w:val="22"/>
        </w:rPr>
        <w:t xml:space="preserve"> </w:t>
      </w:r>
      <w:r w:rsidR="007F3DD5" w:rsidRPr="00940F0A">
        <w:rPr>
          <w:rFonts w:asciiTheme="majorHAnsi" w:hAnsiTheme="majorHAnsi"/>
          <w:i/>
          <w:iCs/>
          <w:sz w:val="22"/>
          <w:szCs w:val="22"/>
        </w:rPr>
        <w:t>J</w:t>
      </w:r>
      <w:r w:rsidR="00F468F9" w:rsidRPr="00940F0A">
        <w:rPr>
          <w:rFonts w:asciiTheme="majorHAnsi" w:hAnsiTheme="majorHAnsi"/>
          <w:i/>
          <w:iCs/>
          <w:sz w:val="22"/>
          <w:szCs w:val="22"/>
          <w:vertAlign w:val="subscript"/>
        </w:rPr>
        <w:t>g</w:t>
      </w:r>
      <w:r w:rsidR="007F3DD5">
        <w:rPr>
          <w:sz w:val="22"/>
          <w:szCs w:val="22"/>
        </w:rPr>
        <w:t xml:space="preserve"> =</w:t>
      </w:r>
      <w:r w:rsidR="00346FAA">
        <w:rPr>
          <w:sz w:val="22"/>
          <w:szCs w:val="22"/>
        </w:rPr>
        <w:t xml:space="preserve"> </w:t>
      </w:r>
      <w:r w:rsidR="007F3DD5">
        <w:rPr>
          <w:sz w:val="22"/>
          <w:szCs w:val="22"/>
        </w:rPr>
        <w:t>0.</w:t>
      </w:r>
      <w:r w:rsidR="00F468F9" w:rsidRPr="00F468F9">
        <w:rPr>
          <w:sz w:val="22"/>
          <w:szCs w:val="22"/>
        </w:rPr>
        <w:t xml:space="preserve"> </w:t>
      </w:r>
      <w:r w:rsidR="00992D3A">
        <w:rPr>
          <w:sz w:val="22"/>
          <w:szCs w:val="22"/>
        </w:rPr>
        <w:t>1</w:t>
      </w:r>
      <w:r w:rsidR="00F468F9">
        <w:rPr>
          <w:sz w:val="22"/>
          <w:szCs w:val="22"/>
        </w:rPr>
        <w:t>42</w:t>
      </w:r>
      <w:r w:rsidR="007F3DD5">
        <w:rPr>
          <w:sz w:val="22"/>
          <w:szCs w:val="22"/>
        </w:rPr>
        <w:t xml:space="preserve"> m/s</w:t>
      </w:r>
      <w:r w:rsidR="00F468F9">
        <w:rPr>
          <w:sz w:val="22"/>
          <w:szCs w:val="22"/>
        </w:rPr>
        <w:t xml:space="preserve">; </w:t>
      </w:r>
      <w:r w:rsidR="00F468F9" w:rsidRPr="00940F0A">
        <w:rPr>
          <w:rFonts w:asciiTheme="majorHAnsi" w:hAnsiTheme="majorHAnsi"/>
          <w:i/>
          <w:iCs/>
          <w:sz w:val="22"/>
          <w:szCs w:val="22"/>
        </w:rPr>
        <w:t>J</w:t>
      </w:r>
      <w:r w:rsidR="00845D15" w:rsidRPr="00940F0A">
        <w:rPr>
          <w:rFonts w:asciiTheme="majorHAnsi" w:hAnsiTheme="majorHAnsi"/>
          <w:i/>
          <w:iCs/>
          <w:sz w:val="22"/>
          <w:szCs w:val="22"/>
          <w:vertAlign w:val="subscript"/>
        </w:rPr>
        <w:t>f</w:t>
      </w:r>
      <w:r w:rsidR="00845D15">
        <w:rPr>
          <w:sz w:val="22"/>
          <w:szCs w:val="22"/>
        </w:rPr>
        <w:t xml:space="preserve"> =0.</w:t>
      </w:r>
      <w:r w:rsidR="009D434B">
        <w:rPr>
          <w:sz w:val="22"/>
          <w:szCs w:val="22"/>
        </w:rPr>
        <w:t>6</w:t>
      </w:r>
      <w:r w:rsidR="00FD619F">
        <w:rPr>
          <w:sz w:val="22"/>
          <w:szCs w:val="22"/>
        </w:rPr>
        <w:t xml:space="preserve">, </w:t>
      </w:r>
      <w:r w:rsidR="00FD619F" w:rsidRPr="00F9665C">
        <w:rPr>
          <w:rFonts w:asciiTheme="majorHAnsi" w:hAnsiTheme="majorHAnsi"/>
          <w:i/>
          <w:iCs/>
          <w:sz w:val="22"/>
          <w:szCs w:val="22"/>
        </w:rPr>
        <w:t>J</w:t>
      </w:r>
      <w:r w:rsidR="00FD619F" w:rsidRPr="00F9665C">
        <w:rPr>
          <w:rFonts w:asciiTheme="majorHAnsi" w:hAnsiTheme="majorHAnsi"/>
          <w:i/>
          <w:iCs/>
          <w:sz w:val="22"/>
          <w:szCs w:val="22"/>
          <w:vertAlign w:val="subscript"/>
        </w:rPr>
        <w:t>g</w:t>
      </w:r>
      <w:r w:rsidR="00992D3A">
        <w:rPr>
          <w:sz w:val="22"/>
          <w:szCs w:val="22"/>
        </w:rPr>
        <w:t xml:space="preserve"> =</w:t>
      </w:r>
      <w:r w:rsidR="00460D2D">
        <w:rPr>
          <w:sz w:val="22"/>
          <w:szCs w:val="22"/>
        </w:rPr>
        <w:t xml:space="preserve"> </w:t>
      </w:r>
      <w:r w:rsidR="00D70126">
        <w:rPr>
          <w:sz w:val="22"/>
          <w:szCs w:val="22"/>
        </w:rPr>
        <w:t>0.</w:t>
      </w:r>
      <w:r w:rsidR="0020598F">
        <w:rPr>
          <w:sz w:val="22"/>
          <w:szCs w:val="22"/>
        </w:rPr>
        <w:t>043</w:t>
      </w:r>
      <w:r w:rsidR="00D70126">
        <w:rPr>
          <w:sz w:val="22"/>
          <w:szCs w:val="22"/>
        </w:rPr>
        <w:t xml:space="preserve"> m/s</w:t>
      </w:r>
      <w:r w:rsidR="00992D3A">
        <w:rPr>
          <w:sz w:val="22"/>
          <w:szCs w:val="22"/>
        </w:rPr>
        <w:t>;</w:t>
      </w:r>
      <w:r w:rsidR="00CB6BFC">
        <w:rPr>
          <w:sz w:val="22"/>
          <w:szCs w:val="22"/>
        </w:rPr>
        <w:t xml:space="preserve"> </w:t>
      </w:r>
      <w:r w:rsidR="00CB6BFC" w:rsidRPr="00940F0A">
        <w:rPr>
          <w:rFonts w:asciiTheme="majorHAnsi" w:hAnsiTheme="majorHAnsi"/>
          <w:i/>
          <w:iCs/>
          <w:sz w:val="22"/>
          <w:szCs w:val="22"/>
        </w:rPr>
        <w:t>J</w:t>
      </w:r>
      <w:r w:rsidR="00CB6BFC" w:rsidRPr="00940F0A">
        <w:rPr>
          <w:rFonts w:asciiTheme="majorHAnsi" w:hAnsiTheme="majorHAnsi"/>
          <w:i/>
          <w:iCs/>
          <w:sz w:val="22"/>
          <w:szCs w:val="22"/>
          <w:vertAlign w:val="subscript"/>
        </w:rPr>
        <w:t>f</w:t>
      </w:r>
      <w:r w:rsidR="00CB6BFC">
        <w:rPr>
          <w:sz w:val="22"/>
          <w:szCs w:val="22"/>
        </w:rPr>
        <w:t xml:space="preserve"> = 1.0 m/s, </w:t>
      </w:r>
      <w:r w:rsidR="00CB6BFC" w:rsidRPr="00940F0A">
        <w:rPr>
          <w:rFonts w:asciiTheme="majorHAnsi" w:hAnsiTheme="majorHAnsi"/>
          <w:i/>
          <w:iCs/>
          <w:sz w:val="22"/>
          <w:szCs w:val="22"/>
        </w:rPr>
        <w:t>J</w:t>
      </w:r>
      <w:r w:rsidR="00FD619F" w:rsidRPr="00940F0A">
        <w:rPr>
          <w:rFonts w:asciiTheme="majorHAnsi" w:hAnsiTheme="majorHAnsi"/>
          <w:i/>
          <w:iCs/>
          <w:sz w:val="22"/>
          <w:szCs w:val="22"/>
          <w:vertAlign w:val="subscript"/>
        </w:rPr>
        <w:t>g</w:t>
      </w:r>
      <w:r w:rsidR="00CB6BFC">
        <w:rPr>
          <w:sz w:val="22"/>
          <w:szCs w:val="22"/>
        </w:rPr>
        <w:t xml:space="preserve"> = </w:t>
      </w:r>
      <w:r w:rsidR="00655E2E">
        <w:rPr>
          <w:sz w:val="22"/>
          <w:szCs w:val="22"/>
        </w:rPr>
        <w:t>0.2 m/s)</w:t>
      </w:r>
      <w:r w:rsidR="009C411D">
        <w:rPr>
          <w:sz w:val="22"/>
          <w:szCs w:val="22"/>
        </w:rPr>
        <w:t xml:space="preserve">. These </w:t>
      </w:r>
      <w:r w:rsidR="00695573">
        <w:rPr>
          <w:sz w:val="22"/>
          <w:szCs w:val="22"/>
        </w:rPr>
        <w:t xml:space="preserve">flow conditions were </w:t>
      </w:r>
      <w:r w:rsidR="00AF65C0">
        <w:rPr>
          <w:sz w:val="22"/>
          <w:szCs w:val="22"/>
        </w:rPr>
        <w:t>selected for bubbly flow</w:t>
      </w:r>
      <w:r w:rsidR="008C2A1E">
        <w:rPr>
          <w:sz w:val="22"/>
          <w:szCs w:val="22"/>
        </w:rPr>
        <w:t xml:space="preserve"> based on </w:t>
      </w:r>
      <w:r w:rsidR="00613E73">
        <w:rPr>
          <w:sz w:val="22"/>
          <w:szCs w:val="22"/>
        </w:rPr>
        <w:t xml:space="preserve">the </w:t>
      </w:r>
      <w:r w:rsidR="00442799">
        <w:rPr>
          <w:sz w:val="22"/>
          <w:szCs w:val="22"/>
        </w:rPr>
        <w:t>f</w:t>
      </w:r>
      <w:r w:rsidR="00724E21">
        <w:rPr>
          <w:sz w:val="22"/>
          <w:szCs w:val="22"/>
        </w:rPr>
        <w:t>low regime</w:t>
      </w:r>
      <w:r w:rsidR="00613E73">
        <w:rPr>
          <w:sz w:val="22"/>
          <w:szCs w:val="22"/>
        </w:rPr>
        <w:t xml:space="preserve"> map</w:t>
      </w:r>
      <w:r w:rsidR="00232AFB">
        <w:rPr>
          <w:sz w:val="22"/>
          <w:szCs w:val="22"/>
        </w:rPr>
        <w:t xml:space="preserve"> </w:t>
      </w:r>
      <w:r w:rsidR="0071692D">
        <w:rPr>
          <w:sz w:val="22"/>
          <w:szCs w:val="22"/>
        </w:rPr>
        <w:fldChar w:fldCharType="begin" w:fldLock="1"/>
      </w:r>
      <w:r w:rsidR="009D6DFA">
        <w:rPr>
          <w:sz w:val="22"/>
          <w:szCs w:val="22"/>
        </w:rPr>
        <w:instrText>ADDIN CSL_CITATION {"citationItems":[{"id":"ITEM-1","itemData":{"DOI":"10.1016/j.ijheatmasstransfer.2016.12.029","ISSN":"00179310","abstract":"The demand of accurate prediction for two-phase flow behavior in a nuclear reactor core composed of fuel rod bundles or a heat exchanger composed of heat transfer tube bundles requires comprehensive understanding of flow regime, void fraction, heat transfer and pressure drop. In comparison with the great success in developing the two-phase flow regime transition criteria for simple geometries such as pipes, annulus and rectangular channels, limited researches have been performed for developing the flow regime transition criteria of upward two-phase flow in vertical rod bundles. In the vertical rod bundles, slug bubbles spanning the bundle casing cannot exist due to their surface instability and the two-phase flow characteristics in the vertical rod bundles are different from those in pipes, annulus or rectangular channels whose channel size are smaller than the length scale of the surface instability. This study has proposed a new flow regime transition criteria model based on the analysis on the underlying physics of the upward two-phase flow behavior in the vertical rod bundles. A reliable drift-flux correlation to predict void fraction in the vertical rod bundle developed recently has been used in modeling the flow regime transition criteria. This study has classified the flow regime into 6 distinct flow regime such as bubbly, finely dispersed bubbly, cap-bubbly, cap-turbulent, churn and annular flows. The newly developed flow regime transition criteria have been compared with existing 4 flow regime maps obtained in vertical rod bundles. The fluid systems include air-water and steam-water. A fairly good agreement with some discrepancies has been obtained between the newly developed transition criteria and the measured flow regime maps.","author":[{"dropping-particle":"","family":"Liu","given":"Hang","non-dropping-particle":"","parse-names":false,"suffix":""},{"dropping-particle":"","family":"Hibiki","given":"Takashi","non-dropping-particle":"","parse-names":false,"suffix":""}],"container-title":"International Journal of Heat and Mass Transfer","id":"ITEM-1","issued":{"date-parts":[["2017"]]},"page":"423-433","title":"Flow regime transition criteria for upward two-phase flow in vertical rod bundles","type":"article","volume":"108"},"uris":["http://www.mendeley.com/documents/?uuid=3c81fb03-191c-4217-ba6e-cb5c73d06a23"]}],"mendeley":{"formattedCitation":"[22]","plainTextFormattedCitation":"[22]","previouslyFormattedCitation":"[21]"},"properties":{"noteIndex":0},"schema":"https://github.com/citation-style-language/schema/raw/master/csl-citation.json"}</w:instrText>
      </w:r>
      <w:r w:rsidR="0071692D">
        <w:rPr>
          <w:sz w:val="22"/>
          <w:szCs w:val="22"/>
        </w:rPr>
        <w:fldChar w:fldCharType="separate"/>
      </w:r>
      <w:r w:rsidR="009D6DFA" w:rsidRPr="009D6DFA">
        <w:rPr>
          <w:noProof/>
          <w:sz w:val="22"/>
          <w:szCs w:val="22"/>
        </w:rPr>
        <w:t>[22]</w:t>
      </w:r>
      <w:r w:rsidR="0071692D">
        <w:rPr>
          <w:sz w:val="22"/>
          <w:szCs w:val="22"/>
        </w:rPr>
        <w:fldChar w:fldCharType="end"/>
      </w:r>
      <w:r w:rsidR="00724E21">
        <w:rPr>
          <w:sz w:val="22"/>
          <w:szCs w:val="22"/>
        </w:rPr>
        <w:t xml:space="preserve"> </w:t>
      </w:r>
      <w:r w:rsidR="00064B44">
        <w:rPr>
          <w:sz w:val="22"/>
          <w:szCs w:val="22"/>
        </w:rPr>
        <w:t xml:space="preserve">at </w:t>
      </w:r>
      <w:r w:rsidR="000C6AE6">
        <w:rPr>
          <w:sz w:val="22"/>
          <w:szCs w:val="22"/>
        </w:rPr>
        <w:t xml:space="preserve">2 </w:t>
      </w:r>
      <w:r w:rsidR="00BB6725">
        <w:rPr>
          <w:sz w:val="22"/>
          <w:szCs w:val="22"/>
        </w:rPr>
        <w:t xml:space="preserve">axial </w:t>
      </w:r>
      <w:r w:rsidR="00A339B5">
        <w:rPr>
          <w:sz w:val="22"/>
          <w:szCs w:val="22"/>
        </w:rPr>
        <w:t>location</w:t>
      </w:r>
      <w:r w:rsidR="005A70FF">
        <w:rPr>
          <w:sz w:val="22"/>
          <w:szCs w:val="22"/>
        </w:rPr>
        <w:t>s</w:t>
      </w:r>
      <w:r w:rsidR="00A339B5">
        <w:rPr>
          <w:sz w:val="22"/>
          <w:szCs w:val="22"/>
        </w:rPr>
        <w:t xml:space="preserve"> </w:t>
      </w:r>
      <w:r w:rsidR="00A339B5" w:rsidRPr="00554974">
        <w:rPr>
          <w:rFonts w:asciiTheme="majorHAnsi" w:hAnsiTheme="majorHAnsi"/>
          <w:i/>
          <w:iCs/>
          <w:sz w:val="22"/>
          <w:szCs w:val="22"/>
        </w:rPr>
        <w:t>z/D</w:t>
      </w:r>
      <w:r w:rsidR="00A339B5" w:rsidRPr="00554974">
        <w:rPr>
          <w:rFonts w:asciiTheme="majorHAnsi" w:hAnsiTheme="majorHAnsi"/>
          <w:i/>
          <w:iCs/>
          <w:sz w:val="22"/>
          <w:szCs w:val="22"/>
          <w:vertAlign w:val="subscript"/>
        </w:rPr>
        <w:t>H</w:t>
      </w:r>
      <w:r w:rsidR="00A339B5">
        <w:rPr>
          <w:sz w:val="22"/>
          <w:szCs w:val="22"/>
        </w:rPr>
        <w:t xml:space="preserve"> = </w:t>
      </w:r>
      <w:r w:rsidR="005B0FCE">
        <w:rPr>
          <w:sz w:val="22"/>
          <w:szCs w:val="22"/>
        </w:rPr>
        <w:t xml:space="preserve">67.6 and </w:t>
      </w:r>
      <w:r w:rsidR="00B21537">
        <w:rPr>
          <w:sz w:val="22"/>
          <w:szCs w:val="22"/>
        </w:rPr>
        <w:t>85.8</w:t>
      </w:r>
      <w:r w:rsidR="000C6AE6">
        <w:rPr>
          <w:sz w:val="22"/>
          <w:szCs w:val="22"/>
        </w:rPr>
        <w:t xml:space="preserve"> which </w:t>
      </w:r>
      <w:r w:rsidR="00181CBB">
        <w:rPr>
          <w:sz w:val="22"/>
          <w:szCs w:val="22"/>
        </w:rPr>
        <w:t>are</w:t>
      </w:r>
      <w:r w:rsidR="000C6AE6">
        <w:rPr>
          <w:sz w:val="22"/>
          <w:szCs w:val="22"/>
        </w:rPr>
        <w:t xml:space="preserve"> </w:t>
      </w:r>
      <w:r w:rsidR="00B66C74">
        <w:rPr>
          <w:sz w:val="22"/>
          <w:szCs w:val="22"/>
        </w:rPr>
        <w:t xml:space="preserve">upstream and </w:t>
      </w:r>
      <w:r w:rsidR="00181CBB">
        <w:rPr>
          <w:sz w:val="22"/>
          <w:szCs w:val="22"/>
        </w:rPr>
        <w:t xml:space="preserve">downstream </w:t>
      </w:r>
      <w:r w:rsidR="000A16DE">
        <w:rPr>
          <w:sz w:val="22"/>
          <w:szCs w:val="22"/>
        </w:rPr>
        <w:t>the</w:t>
      </w:r>
      <w:r w:rsidR="00181CBB">
        <w:rPr>
          <w:sz w:val="22"/>
          <w:szCs w:val="22"/>
        </w:rPr>
        <w:t xml:space="preserve"> spacer grid.</w:t>
      </w:r>
    </w:p>
    <w:p w14:paraId="673CEEBE" w14:textId="77777777" w:rsidR="00B427FA" w:rsidRDefault="00B427FA" w:rsidP="00B427FA">
      <w:pPr>
        <w:pStyle w:val="BodyTextIndent"/>
        <w:rPr>
          <w:sz w:val="22"/>
          <w:szCs w:val="22"/>
        </w:rPr>
      </w:pPr>
    </w:p>
    <w:p w14:paraId="4D00A1F9" w14:textId="3207C7BC" w:rsidR="005F138A" w:rsidRDefault="005F138A" w:rsidP="00122835">
      <w:pPr>
        <w:pStyle w:val="AbstractClauseTitle"/>
        <w:jc w:val="left"/>
        <w:rPr>
          <w:rFonts w:ascii="Times New Roman" w:hAnsi="Times New Roman"/>
          <w:caps w:val="0"/>
          <w:sz w:val="22"/>
          <w:szCs w:val="22"/>
        </w:rPr>
      </w:pPr>
      <w:r w:rsidRPr="00BB7497">
        <w:rPr>
          <w:rFonts w:ascii="Times New Roman" w:hAnsi="Times New Roman"/>
          <w:sz w:val="22"/>
          <w:szCs w:val="22"/>
        </w:rPr>
        <w:t xml:space="preserve">III. </w:t>
      </w:r>
      <w:r w:rsidR="003160E2">
        <w:rPr>
          <w:rFonts w:ascii="Times New Roman" w:hAnsi="Times New Roman"/>
          <w:caps w:val="0"/>
          <w:sz w:val="22"/>
          <w:szCs w:val="22"/>
        </w:rPr>
        <w:t xml:space="preserve">Local </w:t>
      </w:r>
      <w:r w:rsidR="00C52F8C">
        <w:rPr>
          <w:rFonts w:ascii="Times New Roman" w:hAnsi="Times New Roman"/>
          <w:caps w:val="0"/>
          <w:sz w:val="22"/>
          <w:szCs w:val="22"/>
        </w:rPr>
        <w:t>measurement method</w:t>
      </w:r>
    </w:p>
    <w:p w14:paraId="40F376FE" w14:textId="7B037104" w:rsidR="005C1C86" w:rsidRPr="005C1C86" w:rsidRDefault="005C1C86" w:rsidP="005C1C86">
      <w:pPr>
        <w:pStyle w:val="BodyTextIndent"/>
      </w:pPr>
    </w:p>
    <w:p w14:paraId="52408F68" w14:textId="0343A324" w:rsidR="00C34658" w:rsidRDefault="006B28AD" w:rsidP="009A2A5C">
      <w:pPr>
        <w:pStyle w:val="BodyTextIndent"/>
        <w:rPr>
          <w:sz w:val="22"/>
          <w:szCs w:val="22"/>
        </w:rPr>
      </w:pPr>
      <w:r w:rsidRPr="006B28AD">
        <w:rPr>
          <w:sz w:val="22"/>
          <w:szCs w:val="22"/>
        </w:rPr>
        <w:t xml:space="preserve">In </w:t>
      </w:r>
      <w:r w:rsidR="002C662C">
        <w:rPr>
          <w:sz w:val="22"/>
          <w:szCs w:val="22"/>
        </w:rPr>
        <w:t>two-phase</w:t>
      </w:r>
      <w:r w:rsidRPr="006B28AD">
        <w:rPr>
          <w:sz w:val="22"/>
          <w:szCs w:val="22"/>
        </w:rPr>
        <w:t xml:space="preserve"> flow </w:t>
      </w:r>
      <w:r>
        <w:rPr>
          <w:sz w:val="22"/>
          <w:szCs w:val="22"/>
        </w:rPr>
        <w:t>applications</w:t>
      </w:r>
      <w:r w:rsidRPr="006B28AD">
        <w:rPr>
          <w:sz w:val="22"/>
          <w:szCs w:val="22"/>
        </w:rPr>
        <w:t>, optical fiber probes have been used commonly</w:t>
      </w:r>
      <w:r w:rsidR="002C662C">
        <w:rPr>
          <w:sz w:val="22"/>
          <w:szCs w:val="22"/>
        </w:rPr>
        <w:t xml:space="preserve"> to </w:t>
      </w:r>
      <w:r w:rsidR="00532BE4">
        <w:rPr>
          <w:sz w:val="22"/>
          <w:szCs w:val="22"/>
        </w:rPr>
        <w:t>assess</w:t>
      </w:r>
      <w:r w:rsidR="002C662C">
        <w:rPr>
          <w:sz w:val="22"/>
          <w:szCs w:val="22"/>
        </w:rPr>
        <w:t xml:space="preserve"> phase distribution.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2500"/>
      </w:tblGrid>
      <w:tr w:rsidR="00587923" w14:paraId="7F02679E" w14:textId="77777777" w:rsidTr="000D4F7B">
        <w:tc>
          <w:tcPr>
            <w:tcW w:w="2260" w:type="dxa"/>
            <w:vAlign w:val="center"/>
          </w:tcPr>
          <w:p w14:paraId="2C725278" w14:textId="77777777" w:rsidR="00C34658" w:rsidRDefault="00C34658" w:rsidP="00784C72">
            <w:pPr>
              <w:pStyle w:val="BodyTextIndent"/>
              <w:ind w:firstLine="0"/>
              <w:jc w:val="center"/>
              <w:rPr>
                <w:sz w:val="22"/>
                <w:szCs w:val="22"/>
              </w:rPr>
            </w:pPr>
            <w:r>
              <w:rPr>
                <w:sz w:val="22"/>
                <w:szCs w:val="22"/>
              </w:rPr>
              <w:t>(a)</w:t>
            </w:r>
          </w:p>
        </w:tc>
        <w:tc>
          <w:tcPr>
            <w:tcW w:w="2500" w:type="dxa"/>
            <w:vAlign w:val="center"/>
          </w:tcPr>
          <w:p w14:paraId="38D28343" w14:textId="77777777" w:rsidR="00C34658" w:rsidRDefault="00C34658" w:rsidP="00784C72">
            <w:pPr>
              <w:pStyle w:val="BodyTextIndent"/>
              <w:ind w:firstLine="0"/>
              <w:jc w:val="center"/>
              <w:rPr>
                <w:sz w:val="22"/>
                <w:szCs w:val="22"/>
              </w:rPr>
            </w:pPr>
            <w:r>
              <w:rPr>
                <w:sz w:val="22"/>
                <w:szCs w:val="22"/>
              </w:rPr>
              <w:t>(b)</w:t>
            </w:r>
          </w:p>
        </w:tc>
      </w:tr>
      <w:tr w:rsidR="00587923" w14:paraId="1394AE73" w14:textId="77777777" w:rsidTr="000D4F7B">
        <w:tc>
          <w:tcPr>
            <w:tcW w:w="2260" w:type="dxa"/>
            <w:vAlign w:val="center"/>
          </w:tcPr>
          <w:p w14:paraId="1A4E2724" w14:textId="4C97C8E9" w:rsidR="00C34658" w:rsidRDefault="008D3148" w:rsidP="000D4F7B">
            <w:pPr>
              <w:pStyle w:val="BodyTextIndent"/>
              <w:ind w:firstLine="0"/>
              <w:jc w:val="center"/>
              <w:rPr>
                <w:sz w:val="22"/>
                <w:szCs w:val="22"/>
              </w:rPr>
            </w:pPr>
            <w:r w:rsidRPr="008D3148">
              <w:rPr>
                <w:noProof/>
                <w:sz w:val="22"/>
                <w:szCs w:val="22"/>
              </w:rPr>
              <w:drawing>
                <wp:inline distT="0" distB="0" distL="0" distR="0" wp14:anchorId="76037EB0" wp14:editId="57F8E724">
                  <wp:extent cx="911744" cy="1270753"/>
                  <wp:effectExtent l="0" t="8255" r="0" b="0"/>
                  <wp:docPr id="5" name="Google Shape;618;p21">
                    <a:extLst xmlns:a="http://schemas.openxmlformats.org/drawingml/2006/main">
                      <a:ext uri="{FF2B5EF4-FFF2-40B4-BE49-F238E27FC236}">
                        <a16:creationId xmlns:a16="http://schemas.microsoft.com/office/drawing/2014/main" id="{8430CC6C-02EE-E271-7B47-ECE337C1A779}"/>
                      </a:ext>
                    </a:extLst>
                  </wp:docPr>
                  <wp:cNvGraphicFramePr/>
                  <a:graphic xmlns:a="http://schemas.openxmlformats.org/drawingml/2006/main">
                    <a:graphicData uri="http://schemas.openxmlformats.org/drawingml/2006/picture">
                      <pic:pic xmlns:pic="http://schemas.openxmlformats.org/drawingml/2006/picture">
                        <pic:nvPicPr>
                          <pic:cNvPr id="5" name="Google Shape;618;p21">
                            <a:extLst>
                              <a:ext uri="{FF2B5EF4-FFF2-40B4-BE49-F238E27FC236}">
                                <a16:creationId xmlns:a16="http://schemas.microsoft.com/office/drawing/2014/main" id="{8430CC6C-02EE-E271-7B47-ECE337C1A779}"/>
                              </a:ext>
                            </a:extLst>
                          </pic:cNvPr>
                          <pic:cNvPicPr/>
                        </pic:nvPicPr>
                        <pic:blipFill rotWithShape="1">
                          <a:blip r:embed="rId17">
                            <a:alphaModFix/>
                          </a:blip>
                          <a:srcRect/>
                          <a:stretch/>
                        </pic:blipFill>
                        <pic:spPr>
                          <a:xfrm rot="5400000">
                            <a:off x="0" y="0"/>
                            <a:ext cx="921659" cy="1284572"/>
                          </a:xfrm>
                          <a:prstGeom prst="rect">
                            <a:avLst/>
                          </a:prstGeom>
                          <a:noFill/>
                          <a:ln>
                            <a:noFill/>
                          </a:ln>
                        </pic:spPr>
                      </pic:pic>
                    </a:graphicData>
                  </a:graphic>
                </wp:inline>
              </w:drawing>
            </w:r>
          </w:p>
        </w:tc>
        <w:tc>
          <w:tcPr>
            <w:tcW w:w="2500" w:type="dxa"/>
            <w:vAlign w:val="center"/>
          </w:tcPr>
          <w:p w14:paraId="4340449A" w14:textId="2401EB24" w:rsidR="00C34658" w:rsidRDefault="000D4F7B" w:rsidP="00784C72">
            <w:pPr>
              <w:pStyle w:val="BodyTextIndent"/>
              <w:ind w:firstLine="0"/>
              <w:jc w:val="center"/>
              <w:rPr>
                <w:sz w:val="22"/>
                <w:szCs w:val="22"/>
              </w:rPr>
            </w:pPr>
            <w:r w:rsidRPr="000D4F7B">
              <w:rPr>
                <w:noProof/>
                <w:sz w:val="22"/>
                <w:szCs w:val="22"/>
              </w:rPr>
              <w:drawing>
                <wp:inline distT="0" distB="0" distL="0" distR="0" wp14:anchorId="1E59A11A" wp14:editId="6F9046CB">
                  <wp:extent cx="850900" cy="1183712"/>
                  <wp:effectExtent l="0" t="0" r="6350" b="0"/>
                  <wp:docPr id="14695129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869" cy="1193407"/>
                          </a:xfrm>
                          <a:prstGeom prst="rect">
                            <a:avLst/>
                          </a:prstGeom>
                          <a:noFill/>
                          <a:ln>
                            <a:noFill/>
                          </a:ln>
                        </pic:spPr>
                      </pic:pic>
                    </a:graphicData>
                  </a:graphic>
                </wp:inline>
              </w:drawing>
            </w:r>
          </w:p>
        </w:tc>
      </w:tr>
      <w:tr w:rsidR="00587923" w14:paraId="44827704" w14:textId="77777777" w:rsidTr="000D4F7B">
        <w:tc>
          <w:tcPr>
            <w:tcW w:w="2260" w:type="dxa"/>
          </w:tcPr>
          <w:p w14:paraId="4A18165B" w14:textId="0554BDCB" w:rsidR="00C34658" w:rsidRDefault="00C34658" w:rsidP="00C34658">
            <w:pPr>
              <w:pStyle w:val="BodyTextIndent"/>
              <w:ind w:firstLine="0"/>
              <w:jc w:val="center"/>
              <w:rPr>
                <w:sz w:val="22"/>
                <w:szCs w:val="22"/>
              </w:rPr>
            </w:pPr>
            <w:r>
              <w:rPr>
                <w:sz w:val="22"/>
                <w:szCs w:val="22"/>
              </w:rPr>
              <w:t>(c)</w:t>
            </w:r>
          </w:p>
        </w:tc>
        <w:tc>
          <w:tcPr>
            <w:tcW w:w="2500" w:type="dxa"/>
            <w:vAlign w:val="center"/>
          </w:tcPr>
          <w:p w14:paraId="191E8FE1" w14:textId="6C28DA2F" w:rsidR="00C34658" w:rsidRDefault="00C34658" w:rsidP="00784C72">
            <w:pPr>
              <w:pStyle w:val="BodyTextIndent"/>
              <w:ind w:firstLine="0"/>
              <w:jc w:val="center"/>
              <w:rPr>
                <w:sz w:val="22"/>
                <w:szCs w:val="22"/>
              </w:rPr>
            </w:pPr>
            <w:r>
              <w:rPr>
                <w:sz w:val="22"/>
                <w:szCs w:val="22"/>
              </w:rPr>
              <w:t>(d)</w:t>
            </w:r>
          </w:p>
        </w:tc>
      </w:tr>
      <w:tr w:rsidR="00587923" w14:paraId="40E20E70" w14:textId="77777777" w:rsidTr="000D4F7B">
        <w:tc>
          <w:tcPr>
            <w:tcW w:w="2260" w:type="dxa"/>
            <w:vAlign w:val="center"/>
          </w:tcPr>
          <w:p w14:paraId="6D3AD4F6" w14:textId="62ECD4AE" w:rsidR="00C34658" w:rsidRDefault="00A63C06" w:rsidP="000D4F7B">
            <w:pPr>
              <w:pStyle w:val="BodyTextIndent"/>
              <w:ind w:firstLine="0"/>
              <w:jc w:val="center"/>
              <w:rPr>
                <w:sz w:val="22"/>
                <w:szCs w:val="22"/>
              </w:rPr>
            </w:pPr>
            <w:r w:rsidRPr="00587923">
              <w:rPr>
                <w:noProof/>
                <w:sz w:val="22"/>
                <w:szCs w:val="22"/>
              </w:rPr>
              <w:drawing>
                <wp:inline distT="0" distB="0" distL="0" distR="0" wp14:anchorId="32A7F9F8" wp14:editId="712D6201">
                  <wp:extent cx="1129536" cy="928256"/>
                  <wp:effectExtent l="0" t="0" r="0" b="5715"/>
                  <wp:docPr id="8314723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579" cy="952123"/>
                          </a:xfrm>
                          <a:prstGeom prst="rect">
                            <a:avLst/>
                          </a:prstGeom>
                          <a:noFill/>
                          <a:ln>
                            <a:noFill/>
                          </a:ln>
                        </pic:spPr>
                      </pic:pic>
                    </a:graphicData>
                  </a:graphic>
                </wp:inline>
              </w:drawing>
            </w:r>
          </w:p>
        </w:tc>
        <w:tc>
          <w:tcPr>
            <w:tcW w:w="2500" w:type="dxa"/>
            <w:vAlign w:val="center"/>
          </w:tcPr>
          <w:p w14:paraId="0508E266" w14:textId="7B444340" w:rsidR="00C34658" w:rsidRDefault="000D4F7B" w:rsidP="00784C72">
            <w:pPr>
              <w:pStyle w:val="BodyTextIndent"/>
              <w:ind w:firstLine="0"/>
              <w:jc w:val="center"/>
              <w:rPr>
                <w:sz w:val="22"/>
                <w:szCs w:val="22"/>
              </w:rPr>
            </w:pPr>
            <w:r w:rsidRPr="000D4F7B">
              <w:rPr>
                <w:noProof/>
                <w:sz w:val="22"/>
                <w:szCs w:val="22"/>
              </w:rPr>
              <w:drawing>
                <wp:inline distT="0" distB="0" distL="0" distR="0" wp14:anchorId="790BDBE4" wp14:editId="22ED29EB">
                  <wp:extent cx="965200" cy="1303719"/>
                  <wp:effectExtent l="0" t="0" r="0" b="0"/>
                  <wp:docPr id="15521024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9433" cy="1309436"/>
                          </a:xfrm>
                          <a:prstGeom prst="rect">
                            <a:avLst/>
                          </a:prstGeom>
                          <a:noFill/>
                          <a:ln>
                            <a:noFill/>
                          </a:ln>
                        </pic:spPr>
                      </pic:pic>
                    </a:graphicData>
                  </a:graphic>
                </wp:inline>
              </w:drawing>
            </w:r>
          </w:p>
        </w:tc>
      </w:tr>
      <w:tr w:rsidR="00C34658" w14:paraId="5F6BE036" w14:textId="77777777" w:rsidTr="000D4F7B">
        <w:tc>
          <w:tcPr>
            <w:tcW w:w="4760" w:type="dxa"/>
            <w:gridSpan w:val="2"/>
          </w:tcPr>
          <w:p w14:paraId="49F537D6" w14:textId="56336854" w:rsidR="00C34658" w:rsidRPr="000D4F7B" w:rsidRDefault="00C34658" w:rsidP="000D4F7B">
            <w:pPr>
              <w:pStyle w:val="Caption"/>
              <w:jc w:val="center"/>
              <w:rPr>
                <w:b w:val="0"/>
                <w:bCs/>
                <w:i/>
                <w:iCs/>
              </w:rPr>
            </w:pPr>
            <w:r w:rsidRPr="00401092">
              <w:rPr>
                <w:b w:val="0"/>
                <w:bCs/>
                <w:i/>
                <w:iCs/>
              </w:rPr>
              <w:t xml:space="preserve">Figure </w:t>
            </w:r>
            <w:r w:rsidR="00490CA0" w:rsidRPr="00401092">
              <w:rPr>
                <w:b w:val="0"/>
                <w:bCs/>
                <w:i/>
                <w:iCs/>
              </w:rPr>
              <w:t>4</w:t>
            </w:r>
            <w:r w:rsidRPr="00401092">
              <w:rPr>
                <w:b w:val="0"/>
                <w:bCs/>
                <w:i/>
                <w:iCs/>
              </w:rPr>
              <w:t xml:space="preserve">. </w:t>
            </w:r>
            <w:r w:rsidR="008D3148" w:rsidRPr="00E13A0A">
              <w:rPr>
                <w:b w:val="0"/>
                <w:bCs/>
                <w:i/>
                <w:iCs/>
              </w:rPr>
              <w:t>Schematic/photo of: (a) the probe tips, (b) the head on view probe position, (c) tips configuration, (d) tips layers</w:t>
            </w:r>
          </w:p>
        </w:tc>
      </w:tr>
    </w:tbl>
    <w:p w14:paraId="4874295D" w14:textId="3C39CD64" w:rsidR="00C14FC6" w:rsidRDefault="00725EB7" w:rsidP="00FB0E2E">
      <w:pPr>
        <w:pStyle w:val="BodyTextIndent"/>
        <w:rPr>
          <w:sz w:val="22"/>
          <w:szCs w:val="22"/>
        </w:rPr>
      </w:pPr>
      <w:r>
        <w:rPr>
          <w:sz w:val="22"/>
          <w:szCs w:val="22"/>
        </w:rPr>
        <w:t>In this experiment, a</w:t>
      </w:r>
      <w:r w:rsidR="000F112B" w:rsidRPr="000F112B">
        <w:rPr>
          <w:sz w:val="22"/>
          <w:szCs w:val="22"/>
        </w:rPr>
        <w:t xml:space="preserve"> novel</w:t>
      </w:r>
      <w:r w:rsidR="000F112B">
        <w:rPr>
          <w:sz w:val="22"/>
          <w:szCs w:val="22"/>
        </w:rPr>
        <w:t xml:space="preserve"> </w:t>
      </w:r>
      <w:r w:rsidR="000F112B" w:rsidRPr="000F112B">
        <w:rPr>
          <w:sz w:val="22"/>
          <w:szCs w:val="22"/>
        </w:rPr>
        <w:t xml:space="preserve">in-house developed </w:t>
      </w:r>
      <w:r w:rsidR="00434C62">
        <w:rPr>
          <w:sz w:val="22"/>
          <w:szCs w:val="22"/>
        </w:rPr>
        <w:t>four</w:t>
      </w:r>
      <w:r w:rsidR="00434C62" w:rsidRPr="000F112B">
        <w:rPr>
          <w:sz w:val="22"/>
          <w:szCs w:val="22"/>
        </w:rPr>
        <w:t>-point</w:t>
      </w:r>
      <w:r w:rsidR="000F112B" w:rsidRPr="000F112B">
        <w:rPr>
          <w:sz w:val="22"/>
          <w:szCs w:val="22"/>
        </w:rPr>
        <w:t xml:space="preserve"> optical fiber probe</w:t>
      </w:r>
      <w:r w:rsidR="006272E4">
        <w:rPr>
          <w:sz w:val="22"/>
          <w:szCs w:val="22"/>
        </w:rPr>
        <w:t xml:space="preserve"> </w:t>
      </w:r>
      <w:r w:rsidR="0048673E">
        <w:rPr>
          <w:sz w:val="22"/>
          <w:szCs w:val="22"/>
        </w:rPr>
        <w:t>as illustrated in Fig. 5</w:t>
      </w:r>
      <w:r w:rsidR="007A4538">
        <w:rPr>
          <w:sz w:val="22"/>
          <w:szCs w:val="22"/>
        </w:rPr>
        <w:t>(a)</w:t>
      </w:r>
      <w:r w:rsidR="006272E4">
        <w:rPr>
          <w:sz w:val="22"/>
          <w:szCs w:val="22"/>
        </w:rPr>
        <w:t xml:space="preserve"> </w:t>
      </w:r>
      <w:r w:rsidR="005D3E89">
        <w:rPr>
          <w:sz w:val="22"/>
          <w:szCs w:val="22"/>
        </w:rPr>
        <w:t>is</w:t>
      </w:r>
      <w:r w:rsidR="000F112B" w:rsidRPr="000F112B">
        <w:rPr>
          <w:sz w:val="22"/>
          <w:szCs w:val="22"/>
        </w:rPr>
        <w:t xml:space="preserve"> used to measure</w:t>
      </w:r>
      <w:r w:rsidR="00BC6A1B">
        <w:rPr>
          <w:sz w:val="22"/>
          <w:szCs w:val="22"/>
        </w:rPr>
        <w:t xml:space="preserve"> the local bubble properties</w:t>
      </w:r>
      <w:r w:rsidR="00B47CB7">
        <w:rPr>
          <w:sz w:val="22"/>
          <w:szCs w:val="22"/>
        </w:rPr>
        <w:t>.</w:t>
      </w:r>
      <w:r w:rsidR="0028567E">
        <w:rPr>
          <w:sz w:val="22"/>
          <w:szCs w:val="22"/>
        </w:rPr>
        <w:t xml:space="preserve"> </w:t>
      </w:r>
      <w:r w:rsidR="00FE57A2">
        <w:rPr>
          <w:sz w:val="22"/>
          <w:szCs w:val="22"/>
        </w:rPr>
        <w:t>Basically,</w:t>
      </w:r>
      <w:r w:rsidR="00FC1DD1">
        <w:rPr>
          <w:sz w:val="22"/>
          <w:szCs w:val="22"/>
        </w:rPr>
        <w:t xml:space="preserve"> t</w:t>
      </w:r>
      <w:r w:rsidR="0028567E">
        <w:rPr>
          <w:sz w:val="22"/>
          <w:szCs w:val="22"/>
        </w:rPr>
        <w:t>he probe</w:t>
      </w:r>
      <w:r w:rsidR="00FC1DD1">
        <w:rPr>
          <w:sz w:val="22"/>
          <w:szCs w:val="22"/>
        </w:rPr>
        <w:t xml:space="preserve"> configuration</w:t>
      </w:r>
      <w:r w:rsidR="00FE57A2">
        <w:rPr>
          <w:sz w:val="22"/>
          <w:szCs w:val="22"/>
        </w:rPr>
        <w:t xml:space="preserve"> </w:t>
      </w:r>
      <w:r w:rsidR="00CD51E8">
        <w:rPr>
          <w:sz w:val="22"/>
          <w:szCs w:val="22"/>
        </w:rPr>
        <w:t>consis</w:t>
      </w:r>
      <w:r w:rsidR="00F96870">
        <w:rPr>
          <w:sz w:val="22"/>
          <w:szCs w:val="22"/>
        </w:rPr>
        <w:t xml:space="preserve">ts of </w:t>
      </w:r>
      <w:r w:rsidR="003C1967">
        <w:rPr>
          <w:sz w:val="22"/>
          <w:szCs w:val="22"/>
        </w:rPr>
        <w:t xml:space="preserve">four </w:t>
      </w:r>
      <w:r w:rsidR="00AC4C5D" w:rsidRPr="00AC4C5D">
        <w:rPr>
          <w:sz w:val="22"/>
          <w:szCs w:val="22"/>
        </w:rPr>
        <w:t>standard glass fiber</w:t>
      </w:r>
      <w:r w:rsidR="00AC4C5D">
        <w:rPr>
          <w:sz w:val="22"/>
          <w:szCs w:val="22"/>
        </w:rPr>
        <w:t xml:space="preserve"> tips.</w:t>
      </w:r>
      <w:r w:rsidR="0028567E">
        <w:rPr>
          <w:sz w:val="22"/>
          <w:szCs w:val="22"/>
        </w:rPr>
        <w:t xml:space="preserve"> </w:t>
      </w:r>
      <w:r w:rsidR="00525913">
        <w:rPr>
          <w:sz w:val="22"/>
          <w:szCs w:val="22"/>
        </w:rPr>
        <w:t>Three</w:t>
      </w:r>
      <w:r w:rsidR="00833E51">
        <w:rPr>
          <w:sz w:val="22"/>
          <w:szCs w:val="22"/>
        </w:rPr>
        <w:t xml:space="preserve"> of the tips of the probe </w:t>
      </w:r>
      <w:r w:rsidR="00F95910">
        <w:rPr>
          <w:sz w:val="22"/>
          <w:szCs w:val="22"/>
        </w:rPr>
        <w:t xml:space="preserve">are equal </w:t>
      </w:r>
      <w:r w:rsidR="005860C0">
        <w:rPr>
          <w:sz w:val="22"/>
          <w:szCs w:val="22"/>
        </w:rPr>
        <w:t xml:space="preserve">in </w:t>
      </w:r>
      <w:r w:rsidR="00F95910">
        <w:rPr>
          <w:sz w:val="22"/>
          <w:szCs w:val="22"/>
        </w:rPr>
        <w:t>length</w:t>
      </w:r>
      <w:r w:rsidR="008F1432">
        <w:rPr>
          <w:sz w:val="22"/>
          <w:szCs w:val="22"/>
        </w:rPr>
        <w:t xml:space="preserve"> and </w:t>
      </w:r>
      <w:r w:rsidR="0088365A">
        <w:rPr>
          <w:sz w:val="22"/>
          <w:szCs w:val="22"/>
        </w:rPr>
        <w:t>placed in the shape of the tr</w:t>
      </w:r>
      <w:r w:rsidR="00BB0873">
        <w:rPr>
          <w:sz w:val="22"/>
          <w:szCs w:val="22"/>
        </w:rPr>
        <w:t>iangle</w:t>
      </w:r>
      <w:r w:rsidR="00453A68">
        <w:rPr>
          <w:sz w:val="22"/>
          <w:szCs w:val="22"/>
        </w:rPr>
        <w:t>.</w:t>
      </w:r>
      <w:r w:rsidR="00536C75">
        <w:rPr>
          <w:sz w:val="22"/>
          <w:szCs w:val="22"/>
        </w:rPr>
        <w:t xml:space="preserve"> The fourth tip</w:t>
      </w:r>
      <w:r w:rsidR="00450CF7">
        <w:rPr>
          <w:sz w:val="22"/>
          <w:szCs w:val="22"/>
        </w:rPr>
        <w:t xml:space="preserve"> is about </w:t>
      </w:r>
      <w:r w:rsidR="003E5DCF">
        <w:rPr>
          <w:sz w:val="22"/>
          <w:szCs w:val="22"/>
        </w:rPr>
        <w:t>2 mm longer</w:t>
      </w:r>
      <w:r w:rsidR="00AD4C4F">
        <w:rPr>
          <w:sz w:val="22"/>
          <w:szCs w:val="22"/>
        </w:rPr>
        <w:t xml:space="preserve"> than the</w:t>
      </w:r>
      <w:r w:rsidR="00B8486C">
        <w:rPr>
          <w:sz w:val="22"/>
          <w:szCs w:val="22"/>
        </w:rPr>
        <w:t xml:space="preserve"> three others and </w:t>
      </w:r>
      <w:r w:rsidR="001862DE">
        <w:rPr>
          <w:sz w:val="22"/>
          <w:szCs w:val="22"/>
        </w:rPr>
        <w:t>placed in the center of the triangle</w:t>
      </w:r>
      <w:r w:rsidR="00261513">
        <w:rPr>
          <w:sz w:val="22"/>
          <w:szCs w:val="22"/>
        </w:rPr>
        <w:t xml:space="preserve"> as</w:t>
      </w:r>
      <w:r w:rsidR="000B5AB2">
        <w:rPr>
          <w:sz w:val="22"/>
          <w:szCs w:val="22"/>
        </w:rPr>
        <w:t xml:space="preserve"> in</w:t>
      </w:r>
      <w:r w:rsidR="00261513">
        <w:rPr>
          <w:sz w:val="22"/>
          <w:szCs w:val="22"/>
        </w:rPr>
        <w:t xml:space="preserve"> Fig. 5(b)</w:t>
      </w:r>
      <w:r w:rsidR="0063515A">
        <w:rPr>
          <w:sz w:val="22"/>
          <w:szCs w:val="22"/>
        </w:rPr>
        <w:t xml:space="preserve"> and (c)</w:t>
      </w:r>
      <w:r w:rsidR="001862DE">
        <w:rPr>
          <w:sz w:val="22"/>
          <w:szCs w:val="22"/>
        </w:rPr>
        <w:t>.</w:t>
      </w:r>
      <w:r w:rsidR="008435D9">
        <w:rPr>
          <w:sz w:val="22"/>
          <w:szCs w:val="22"/>
        </w:rPr>
        <w:t xml:space="preserve"> </w:t>
      </w:r>
      <w:r w:rsidR="0070468D" w:rsidRPr="0070468D">
        <w:rPr>
          <w:sz w:val="22"/>
          <w:szCs w:val="22"/>
        </w:rPr>
        <w:t>A</w:t>
      </w:r>
      <w:r w:rsidR="0070468D">
        <w:rPr>
          <w:sz w:val="22"/>
          <w:szCs w:val="22"/>
        </w:rPr>
        <w:t>round</w:t>
      </w:r>
      <w:r w:rsidR="0070468D" w:rsidRPr="0070468D">
        <w:rPr>
          <w:sz w:val="22"/>
          <w:szCs w:val="22"/>
        </w:rPr>
        <w:t xml:space="preserve"> 0.6</w:t>
      </w:r>
      <w:r w:rsidR="001A6C51">
        <w:rPr>
          <w:sz w:val="22"/>
          <w:szCs w:val="22"/>
        </w:rPr>
        <w:t xml:space="preserve"> </w:t>
      </w:r>
      <w:r w:rsidR="0070468D" w:rsidRPr="0070468D">
        <w:rPr>
          <w:sz w:val="22"/>
          <w:szCs w:val="22"/>
        </w:rPr>
        <w:t xml:space="preserve">mm </w:t>
      </w:r>
      <w:r w:rsidR="009A11FB" w:rsidRPr="009A11FB">
        <w:rPr>
          <w:sz w:val="22"/>
          <w:szCs w:val="22"/>
        </w:rPr>
        <w:t>interval distance</w:t>
      </w:r>
      <w:r w:rsidR="0070468D" w:rsidRPr="0070468D">
        <w:rPr>
          <w:sz w:val="22"/>
          <w:szCs w:val="22"/>
        </w:rPr>
        <w:t xml:space="preserve"> the </w:t>
      </w:r>
      <w:r w:rsidR="001A6C51">
        <w:rPr>
          <w:sz w:val="22"/>
          <w:szCs w:val="22"/>
        </w:rPr>
        <w:t>center tip</w:t>
      </w:r>
      <w:r w:rsidR="0070468D" w:rsidRPr="0070468D">
        <w:rPr>
          <w:sz w:val="22"/>
          <w:szCs w:val="22"/>
        </w:rPr>
        <w:t xml:space="preserve"> from each of the other</w:t>
      </w:r>
      <w:r w:rsidR="00F775FE">
        <w:rPr>
          <w:sz w:val="22"/>
          <w:szCs w:val="22"/>
        </w:rPr>
        <w:t xml:space="preserve"> tip</w:t>
      </w:r>
      <w:r w:rsidR="0070468D" w:rsidRPr="0070468D">
        <w:rPr>
          <w:sz w:val="22"/>
          <w:szCs w:val="22"/>
        </w:rPr>
        <w:t>s on all sides</w:t>
      </w:r>
      <w:r w:rsidR="000A6FBC">
        <w:rPr>
          <w:sz w:val="22"/>
          <w:szCs w:val="22"/>
        </w:rPr>
        <w:t xml:space="preserve">. </w:t>
      </w:r>
      <w:r w:rsidR="001A7A69">
        <w:rPr>
          <w:sz w:val="22"/>
          <w:szCs w:val="22"/>
        </w:rPr>
        <w:t>Each tip</w:t>
      </w:r>
      <w:r w:rsidR="00A81A56">
        <w:rPr>
          <w:sz w:val="22"/>
          <w:szCs w:val="22"/>
        </w:rPr>
        <w:t xml:space="preserve"> </w:t>
      </w:r>
      <w:r w:rsidR="00C958FA">
        <w:rPr>
          <w:sz w:val="22"/>
          <w:szCs w:val="22"/>
        </w:rPr>
        <w:t xml:space="preserve">has </w:t>
      </w:r>
      <w:r w:rsidR="00C57B28">
        <w:rPr>
          <w:sz w:val="22"/>
          <w:szCs w:val="22"/>
        </w:rPr>
        <w:t>a diameter</w:t>
      </w:r>
      <w:r w:rsidR="008E1E6A">
        <w:rPr>
          <w:sz w:val="22"/>
          <w:szCs w:val="22"/>
        </w:rPr>
        <w:t xml:space="preserve"> of</w:t>
      </w:r>
      <w:r w:rsidR="00A81A56">
        <w:rPr>
          <w:sz w:val="22"/>
          <w:szCs w:val="22"/>
        </w:rPr>
        <w:t xml:space="preserve"> 200</w:t>
      </w:r>
      <w:r w:rsidR="00D9675A" w:rsidRPr="00D9675A">
        <w:rPr>
          <w:sz w:val="22"/>
          <w:szCs w:val="22"/>
        </w:rPr>
        <w:t xml:space="preserve"> </w:t>
      </w:r>
      <w:r w:rsidR="00E1772C">
        <w:rPr>
          <w:sz w:val="22"/>
          <w:szCs w:val="22"/>
        </w:rPr>
        <w:t>μ</w:t>
      </w:r>
      <w:r w:rsidR="00D9675A" w:rsidRPr="00655533">
        <w:rPr>
          <w:sz w:val="22"/>
          <w:szCs w:val="22"/>
        </w:rPr>
        <w:t>m</w:t>
      </w:r>
      <w:r w:rsidR="00D9675A">
        <w:rPr>
          <w:sz w:val="22"/>
          <w:szCs w:val="22"/>
        </w:rPr>
        <w:t xml:space="preserve"> and</w:t>
      </w:r>
      <w:r w:rsidR="001A7A69">
        <w:rPr>
          <w:sz w:val="22"/>
          <w:szCs w:val="22"/>
        </w:rPr>
        <w:t xml:space="preserve"> </w:t>
      </w:r>
      <w:r w:rsidR="005D6B1B">
        <w:rPr>
          <w:sz w:val="22"/>
          <w:szCs w:val="22"/>
        </w:rPr>
        <w:t>surrounded</w:t>
      </w:r>
      <w:r w:rsidR="008E1E6A">
        <w:rPr>
          <w:sz w:val="22"/>
          <w:szCs w:val="22"/>
        </w:rPr>
        <w:t xml:space="preserve"> </w:t>
      </w:r>
      <w:r w:rsidR="005D6B1B">
        <w:rPr>
          <w:sz w:val="22"/>
          <w:szCs w:val="22"/>
        </w:rPr>
        <w:t xml:space="preserve">by a layer of </w:t>
      </w:r>
      <w:r w:rsidR="00A64CCB">
        <w:rPr>
          <w:sz w:val="22"/>
          <w:szCs w:val="22"/>
        </w:rPr>
        <w:t xml:space="preserve">silicon </w:t>
      </w:r>
      <w:r w:rsidR="005D6B1B">
        <w:rPr>
          <w:sz w:val="22"/>
          <w:szCs w:val="22"/>
        </w:rPr>
        <w:t>with di</w:t>
      </w:r>
      <w:r w:rsidR="00891A2E">
        <w:rPr>
          <w:sz w:val="22"/>
          <w:szCs w:val="22"/>
        </w:rPr>
        <w:t>ameter</w:t>
      </w:r>
      <w:r w:rsidR="00FB0E2E">
        <w:rPr>
          <w:sz w:val="22"/>
          <w:szCs w:val="22"/>
        </w:rPr>
        <w:t xml:space="preserve"> </w:t>
      </w:r>
      <w:r w:rsidR="00891A2E">
        <w:rPr>
          <w:sz w:val="22"/>
          <w:szCs w:val="22"/>
        </w:rPr>
        <w:t xml:space="preserve">of 380 </w:t>
      </w:r>
      <w:r w:rsidR="00E1772C">
        <w:rPr>
          <w:sz w:val="22"/>
          <w:szCs w:val="22"/>
        </w:rPr>
        <w:t>μ</w:t>
      </w:r>
      <w:r w:rsidR="00891A2E" w:rsidRPr="00655533">
        <w:rPr>
          <w:sz w:val="22"/>
          <w:szCs w:val="22"/>
        </w:rPr>
        <w:t>m</w:t>
      </w:r>
      <w:r w:rsidR="006C5AE8">
        <w:rPr>
          <w:sz w:val="22"/>
          <w:szCs w:val="22"/>
        </w:rPr>
        <w:t xml:space="preserve"> </w:t>
      </w:r>
      <w:r w:rsidR="00D54583">
        <w:rPr>
          <w:sz w:val="22"/>
          <w:szCs w:val="22"/>
        </w:rPr>
        <w:t>and</w:t>
      </w:r>
      <w:r w:rsidR="006C5AE8">
        <w:rPr>
          <w:sz w:val="22"/>
          <w:szCs w:val="22"/>
        </w:rPr>
        <w:t xml:space="preserve"> Teflon </w:t>
      </w:r>
      <w:r w:rsidR="0019473B">
        <w:rPr>
          <w:sz w:val="22"/>
          <w:szCs w:val="22"/>
        </w:rPr>
        <w:t xml:space="preserve">protective layer with a 600 </w:t>
      </w:r>
      <w:r w:rsidR="00E1772C">
        <w:rPr>
          <w:sz w:val="22"/>
          <w:szCs w:val="22"/>
        </w:rPr>
        <w:t>μ</w:t>
      </w:r>
      <w:r w:rsidR="0019473B" w:rsidRPr="00655533">
        <w:rPr>
          <w:sz w:val="22"/>
          <w:szCs w:val="22"/>
        </w:rPr>
        <w:t>m</w:t>
      </w:r>
      <w:r w:rsidR="0019473B" w:rsidRPr="00B47CB7">
        <w:rPr>
          <w:sz w:val="22"/>
          <w:szCs w:val="22"/>
        </w:rPr>
        <w:t xml:space="preserve"> </w:t>
      </w:r>
      <w:r w:rsidR="0019473B">
        <w:rPr>
          <w:sz w:val="22"/>
          <w:szCs w:val="22"/>
        </w:rPr>
        <w:t>overall</w:t>
      </w:r>
      <w:r w:rsidR="00282604">
        <w:rPr>
          <w:sz w:val="22"/>
          <w:szCs w:val="22"/>
        </w:rPr>
        <w:t xml:space="preserve"> diameter</w:t>
      </w:r>
      <w:r w:rsidR="000000F4">
        <w:rPr>
          <w:sz w:val="22"/>
          <w:szCs w:val="22"/>
        </w:rPr>
        <w:t xml:space="preserve"> </w:t>
      </w:r>
      <w:r w:rsidR="00FE547D" w:rsidRPr="00FE547D">
        <w:rPr>
          <w:sz w:val="22"/>
          <w:szCs w:val="22"/>
        </w:rPr>
        <w:t>as indicated in</w:t>
      </w:r>
      <w:r w:rsidR="0063515A">
        <w:rPr>
          <w:sz w:val="22"/>
          <w:szCs w:val="22"/>
        </w:rPr>
        <w:t xml:space="preserve"> </w:t>
      </w:r>
      <w:r w:rsidR="00B80061">
        <w:rPr>
          <w:sz w:val="22"/>
          <w:szCs w:val="22"/>
        </w:rPr>
        <w:t>Fig. 5(d)</w:t>
      </w:r>
      <w:r w:rsidR="00282604">
        <w:rPr>
          <w:sz w:val="22"/>
          <w:szCs w:val="22"/>
        </w:rPr>
        <w:t>.</w:t>
      </w:r>
      <w:r w:rsidR="00FA1EDC">
        <w:rPr>
          <w:sz w:val="22"/>
          <w:szCs w:val="22"/>
        </w:rPr>
        <w:t xml:space="preserve"> The main concept of the probe </w:t>
      </w:r>
      <w:r w:rsidR="00FA1EDC">
        <w:rPr>
          <w:sz w:val="22"/>
          <w:szCs w:val="22"/>
        </w:rPr>
        <w:lastRenderedPageBreak/>
        <w:t>is based on different mediums due to the difference in reflection index between the water and gas.</w:t>
      </w:r>
      <w:r w:rsidR="00282604">
        <w:rPr>
          <w:sz w:val="22"/>
          <w:szCs w:val="22"/>
        </w:rPr>
        <w:t xml:space="preserve"> </w:t>
      </w:r>
      <w:r w:rsidR="00CB5623" w:rsidRPr="00CB5623">
        <w:rPr>
          <w:sz w:val="22"/>
          <w:szCs w:val="22"/>
        </w:rPr>
        <w:t>Furthermore</w:t>
      </w:r>
      <w:r w:rsidR="008435D9">
        <w:rPr>
          <w:sz w:val="22"/>
          <w:szCs w:val="22"/>
        </w:rPr>
        <w:t>, t</w:t>
      </w:r>
      <w:r w:rsidR="00B47CB7" w:rsidRPr="00B47CB7">
        <w:rPr>
          <w:sz w:val="22"/>
          <w:szCs w:val="22"/>
        </w:rPr>
        <w:t xml:space="preserve">he </w:t>
      </w:r>
      <w:r w:rsidR="001862DE" w:rsidRPr="00B47CB7">
        <w:rPr>
          <w:sz w:val="22"/>
          <w:szCs w:val="22"/>
        </w:rPr>
        <w:t>probe</w:t>
      </w:r>
      <w:r w:rsidR="00B47CB7" w:rsidRPr="00B47CB7">
        <w:rPr>
          <w:sz w:val="22"/>
          <w:szCs w:val="22"/>
        </w:rPr>
        <w:t xml:space="preserve"> </w:t>
      </w:r>
      <w:r w:rsidR="00AB4F5C" w:rsidRPr="00B47CB7">
        <w:rPr>
          <w:sz w:val="22"/>
          <w:szCs w:val="22"/>
        </w:rPr>
        <w:t>measures</w:t>
      </w:r>
      <w:r w:rsidR="00B47CB7" w:rsidRPr="00B47CB7">
        <w:rPr>
          <w:sz w:val="22"/>
          <w:szCs w:val="22"/>
        </w:rPr>
        <w:t xml:space="preserve"> the bubble chord length,</w:t>
      </w:r>
      <w:r w:rsidR="00B47CB7">
        <w:rPr>
          <w:sz w:val="22"/>
          <w:szCs w:val="22"/>
        </w:rPr>
        <w:t xml:space="preserve"> </w:t>
      </w:r>
      <w:r w:rsidR="00905590">
        <w:rPr>
          <w:sz w:val="22"/>
          <w:szCs w:val="22"/>
        </w:rPr>
        <w:t>i</w:t>
      </w:r>
      <w:r w:rsidR="00B47CB7" w:rsidRPr="00B47CB7">
        <w:rPr>
          <w:sz w:val="22"/>
          <w:szCs w:val="22"/>
        </w:rPr>
        <w:t>nterfacial area</w:t>
      </w:r>
      <w:r w:rsidR="00905590">
        <w:rPr>
          <w:sz w:val="22"/>
          <w:szCs w:val="22"/>
        </w:rPr>
        <w:t xml:space="preserve"> concentration</w:t>
      </w:r>
      <w:r w:rsidR="00B47CB7" w:rsidRPr="00B47CB7">
        <w:rPr>
          <w:sz w:val="22"/>
          <w:szCs w:val="22"/>
        </w:rPr>
        <w:t xml:space="preserve">, bubble velocity, local </w:t>
      </w:r>
      <w:r w:rsidR="00905590">
        <w:rPr>
          <w:sz w:val="22"/>
          <w:szCs w:val="22"/>
        </w:rPr>
        <w:t>void fraction</w:t>
      </w:r>
      <w:r w:rsidR="00B47CB7" w:rsidRPr="00B47CB7">
        <w:rPr>
          <w:sz w:val="22"/>
          <w:szCs w:val="22"/>
        </w:rPr>
        <w:t>, bubble passage frequency</w:t>
      </w:r>
      <w:r w:rsidR="00DF2DB7">
        <w:rPr>
          <w:sz w:val="22"/>
          <w:szCs w:val="22"/>
        </w:rPr>
        <w:t>,</w:t>
      </w:r>
      <w:r w:rsidR="00B47CB7" w:rsidRPr="00B47CB7">
        <w:rPr>
          <w:sz w:val="22"/>
          <w:szCs w:val="22"/>
        </w:rPr>
        <w:t xml:space="preserve"> and the</w:t>
      </w:r>
      <w:r w:rsidR="00DF2DB7">
        <w:rPr>
          <w:sz w:val="22"/>
          <w:szCs w:val="22"/>
        </w:rPr>
        <w:t xml:space="preserve"> </w:t>
      </w:r>
      <w:r w:rsidR="00B47CB7" w:rsidRPr="00B47CB7">
        <w:rPr>
          <w:sz w:val="22"/>
          <w:szCs w:val="22"/>
        </w:rPr>
        <w:t>distribution and their time series.</w:t>
      </w:r>
    </w:p>
    <w:p w14:paraId="30F6CAB3" w14:textId="579184C2" w:rsidR="00BE171A" w:rsidRDefault="00144313" w:rsidP="00490CA0">
      <w:pPr>
        <w:pStyle w:val="BodyTextIndent"/>
        <w:rPr>
          <w:sz w:val="22"/>
          <w:szCs w:val="22"/>
        </w:rPr>
      </w:pPr>
      <w:r>
        <w:rPr>
          <w:sz w:val="22"/>
          <w:szCs w:val="22"/>
        </w:rPr>
        <w:t>The void fraction is an extremely important parameter for designing and understanding the two-phase flow dynamics. The void fraction analysis</w:t>
      </w:r>
      <w:r w:rsidR="00070D59">
        <w:rPr>
          <w:sz w:val="22"/>
          <w:szCs w:val="22"/>
        </w:rPr>
        <w:t xml:space="preserve"> in this </w:t>
      </w:r>
      <w:r w:rsidR="006224D9">
        <w:rPr>
          <w:sz w:val="22"/>
          <w:szCs w:val="22"/>
        </w:rPr>
        <w:t>experiment</w:t>
      </w:r>
      <w:r>
        <w:rPr>
          <w:sz w:val="22"/>
          <w:szCs w:val="22"/>
        </w:rPr>
        <w:t xml:space="preserve"> is conducted by comparing the duration time of the central tip in the gas phase to the overall duration time of the measurement</w:t>
      </w:r>
      <w:r w:rsidR="00424FD1">
        <w:rPr>
          <w:sz w:val="22"/>
          <w:szCs w:val="22"/>
        </w:rPr>
        <w:t>,</w:t>
      </w:r>
      <w:r w:rsidR="000130AC">
        <w:rPr>
          <w:sz w:val="22"/>
          <w:szCs w:val="22"/>
        </w:rPr>
        <w:t xml:space="preserve"> </w:t>
      </w:r>
      <w:r>
        <w:rPr>
          <w:sz w:val="22"/>
          <w:szCs w:val="22"/>
        </w:rPr>
        <w:fldChar w:fldCharType="begin" w:fldLock="1"/>
      </w:r>
      <w:r w:rsidR="009D6DFA">
        <w:rPr>
          <w:sz w:val="22"/>
          <w:szCs w:val="22"/>
        </w:rPr>
        <w:instrText>ADDIN CSL_CITATION {"citationItems":[{"id":"ITEM-1","itemData":{"author":[{"dropping-particle":"","family":"Xue","given":"Junli","non-dropping-particle":"","parse-names":false,"suffix":""},{"dropping-particle":"","family":"Al-dahhan","given":"Muthanna","non-dropping-particle":"","parse-names":false,"suffix":""},{"dropping-particle":"","family":"Dudukovic","given":"M P","non-dropping-particle":"","parse-names":false,"suffix":""},{"dropping-particle":"","family":"Mudde","given":"R F","non-dropping-particle":"","parse-names":false,"suffix":""}],"container-title":"The Canadian Journal of Chemical Engineering","id":"ITEM-1","issue":"August","issued":{"date-parts":[["2003"]]},"page":"375-381","title":"Bubble Dynamics Measurements Using Four-Point Optical Probe","type":"article-journal","volume":"81"},"uris":["http://www.mendeley.com/documents/?uuid=b682fc4c-e9eb-4971-a203-c2d6f4feab39"]}],"mendeley":{"formattedCitation":"[23]","plainTextFormattedCitation":"[23]","previouslyFormattedCitation":"[22]"},"properties":{"noteIndex":0},"schema":"https://github.com/citation-style-language/schema/raw/master/csl-citation.json"}</w:instrText>
      </w:r>
      <w:r>
        <w:rPr>
          <w:sz w:val="22"/>
          <w:szCs w:val="22"/>
        </w:rPr>
        <w:fldChar w:fldCharType="separate"/>
      </w:r>
      <w:r w:rsidR="009D6DFA" w:rsidRPr="009D6DFA">
        <w:rPr>
          <w:noProof/>
          <w:sz w:val="22"/>
          <w:szCs w:val="22"/>
        </w:rPr>
        <w:t>[23]</w:t>
      </w:r>
      <w:r>
        <w:rPr>
          <w:sz w:val="22"/>
          <w:szCs w:val="22"/>
        </w:rPr>
        <w:fldChar w:fldCharType="end"/>
      </w:r>
      <w:r>
        <w:rPr>
          <w:sz w:val="22"/>
          <w:szCs w:val="22"/>
        </w:rPr>
        <w:t>, and can be expressed as:</w:t>
      </w:r>
    </w:p>
    <w:p w14:paraId="12ADC32C" w14:textId="77777777" w:rsidR="005B73E7" w:rsidRDefault="005B73E7" w:rsidP="00490CA0">
      <w:pPr>
        <w:pStyle w:val="BodyTextIndent"/>
        <w:rPr>
          <w:sz w:val="22"/>
          <w:szCs w:val="22"/>
        </w:rPr>
      </w:pPr>
    </w:p>
    <w:tbl>
      <w:tblPr>
        <w:tblStyle w:val="TableGrid"/>
        <w:tblW w:w="4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477"/>
      </w:tblGrid>
      <w:tr w:rsidR="00817B7D" w14:paraId="43DB77F9" w14:textId="77777777" w:rsidTr="00B0132F">
        <w:trPr>
          <w:trHeight w:val="692"/>
        </w:trPr>
        <w:tc>
          <w:tcPr>
            <w:tcW w:w="4332" w:type="dxa"/>
          </w:tcPr>
          <w:p w14:paraId="2B51536D" w14:textId="7A5CBEFD" w:rsidR="00817B7D" w:rsidRDefault="00817B7D" w:rsidP="00817B7D">
            <w:pPr>
              <w:pStyle w:val="BodyTextIndent"/>
              <w:ind w:firstLine="0"/>
              <w:rPr>
                <w:sz w:val="22"/>
                <w:szCs w:val="22"/>
              </w:rPr>
            </w:pPr>
            <m:oMathPara>
              <m:oMath>
                <m:r>
                  <w:rPr>
                    <w:rFonts w:ascii="Cambria Math" w:hAnsi="Cambria Math"/>
                    <w:sz w:val="22"/>
                    <w:szCs w:val="22"/>
                  </w:rPr>
                  <m:t>ε=</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g</m:t>
                        </m:r>
                      </m:sub>
                    </m:sSub>
                  </m:num>
                  <m:den>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total</m:t>
                        </m:r>
                      </m:sub>
                    </m:sSub>
                  </m:den>
                </m:f>
              </m:oMath>
            </m:oMathPara>
          </w:p>
        </w:tc>
        <w:tc>
          <w:tcPr>
            <w:tcW w:w="477" w:type="dxa"/>
            <w:vAlign w:val="center"/>
          </w:tcPr>
          <w:p w14:paraId="69FA56A9" w14:textId="7E6526FB" w:rsidR="00817B7D" w:rsidRDefault="00817B7D" w:rsidP="00817B7D">
            <w:pPr>
              <w:pStyle w:val="BodyTextIndent"/>
              <w:ind w:firstLine="0"/>
              <w:jc w:val="center"/>
              <w:rPr>
                <w:sz w:val="22"/>
                <w:szCs w:val="22"/>
              </w:rPr>
            </w:pPr>
            <w:r>
              <w:rPr>
                <w:sz w:val="22"/>
                <w:szCs w:val="22"/>
              </w:rPr>
              <w:t>(2)</w:t>
            </w:r>
          </w:p>
        </w:tc>
      </w:tr>
    </w:tbl>
    <w:p w14:paraId="353AF7D1" w14:textId="77777777" w:rsidR="005B73E7" w:rsidRDefault="005B73E7" w:rsidP="0006289B">
      <w:pPr>
        <w:pStyle w:val="BodyTextIndent"/>
        <w:ind w:firstLine="0"/>
        <w:rPr>
          <w:sz w:val="22"/>
          <w:szCs w:val="22"/>
        </w:rPr>
      </w:pPr>
    </w:p>
    <w:p w14:paraId="73EE3956" w14:textId="0654AB6B" w:rsidR="000326DF" w:rsidRDefault="006224D9" w:rsidP="0006289B">
      <w:pPr>
        <w:pStyle w:val="BodyTextIndent"/>
        <w:ind w:firstLine="0"/>
        <w:rPr>
          <w:sz w:val="22"/>
          <w:szCs w:val="22"/>
        </w:rPr>
      </w:pPr>
      <w:r>
        <w:rPr>
          <w:sz w:val="22"/>
          <w:szCs w:val="22"/>
        </w:rPr>
        <w:t xml:space="preserve">For </w:t>
      </w:r>
      <w:r w:rsidR="00D734B3">
        <w:rPr>
          <w:sz w:val="22"/>
          <w:szCs w:val="22"/>
        </w:rPr>
        <w:t xml:space="preserve">local </w:t>
      </w:r>
      <w:r w:rsidR="000130AC">
        <w:rPr>
          <w:sz w:val="22"/>
          <w:szCs w:val="22"/>
        </w:rPr>
        <w:t>interfacial area concentration</w:t>
      </w:r>
      <w:r w:rsidR="001A4EB0">
        <w:rPr>
          <w:sz w:val="22"/>
          <w:szCs w:val="22"/>
        </w:rPr>
        <w:t xml:space="preserve">, </w:t>
      </w:r>
      <w:r w:rsidR="0030497C">
        <w:rPr>
          <w:sz w:val="22"/>
          <w:szCs w:val="22"/>
        </w:rPr>
        <w:t>bubble velocity, bubble chord length</w:t>
      </w:r>
      <w:r w:rsidR="000130AC">
        <w:rPr>
          <w:sz w:val="22"/>
          <w:szCs w:val="22"/>
        </w:rPr>
        <w:t xml:space="preserve"> </w:t>
      </w:r>
      <w:r w:rsidR="00B76372">
        <w:rPr>
          <w:sz w:val="22"/>
          <w:szCs w:val="22"/>
        </w:rPr>
        <w:t xml:space="preserve">measurements, </w:t>
      </w:r>
      <w:r w:rsidR="00EE7FE5">
        <w:rPr>
          <w:sz w:val="22"/>
          <w:szCs w:val="22"/>
        </w:rPr>
        <w:t>discussed</w:t>
      </w:r>
      <w:r w:rsidR="0056573B">
        <w:rPr>
          <w:sz w:val="22"/>
          <w:szCs w:val="22"/>
        </w:rPr>
        <w:t xml:space="preserve"> extensively in </w:t>
      </w:r>
      <w:r w:rsidR="00786E8E">
        <w:rPr>
          <w:sz w:val="22"/>
          <w:szCs w:val="22"/>
        </w:rPr>
        <w:t xml:space="preserve">Xue et al., </w:t>
      </w:r>
      <w:r w:rsidR="008F76FE">
        <w:rPr>
          <w:sz w:val="22"/>
          <w:szCs w:val="22"/>
        </w:rPr>
        <w:t>(</w:t>
      </w:r>
      <w:r w:rsidR="00786E8E">
        <w:rPr>
          <w:sz w:val="22"/>
          <w:szCs w:val="22"/>
        </w:rPr>
        <w:t>2003</w:t>
      </w:r>
      <w:r w:rsidR="008F76FE">
        <w:rPr>
          <w:sz w:val="22"/>
          <w:szCs w:val="22"/>
        </w:rPr>
        <w:t>)</w:t>
      </w:r>
      <w:r w:rsidR="0077005B">
        <w:rPr>
          <w:sz w:val="22"/>
          <w:szCs w:val="22"/>
        </w:rPr>
        <w:t xml:space="preserve"> </w:t>
      </w:r>
      <w:r w:rsidR="0077005B">
        <w:rPr>
          <w:sz w:val="22"/>
          <w:szCs w:val="22"/>
        </w:rPr>
        <w:fldChar w:fldCharType="begin" w:fldLock="1"/>
      </w:r>
      <w:r w:rsidR="009D6DFA">
        <w:rPr>
          <w:sz w:val="22"/>
          <w:szCs w:val="22"/>
        </w:rPr>
        <w:instrText>ADDIN CSL_CITATION {"citationItems":[{"id":"ITEM-1","itemData":{"author":[{"dropping-particle":"","family":"Xue","given":"Junli","non-dropping-particle":"","parse-names":false,"suffix":""},{"dropping-particle":"","family":"Al-dahhan","given":"Muthanna","non-dropping-particle":"","parse-names":false,"suffix":""},{"dropping-particle":"","family":"Dudukovic","given":"M P","non-dropping-particle":"","parse-names":false,"suffix":""},{"dropping-particle":"","family":"Mudde","given":"R F","non-dropping-particle":"","parse-names":false,"suffix":""}],"container-title":"The Canadian Journal of Chemical Engineering","id":"ITEM-1","issue":"August","issued":{"date-parts":[["2003"]]},"page":"375-381","title":"Bubble Dynamics Measurements Using Four-Point Optical Probe","type":"article-journal","volume":"81"},"uris":["http://www.mendeley.com/documents/?uuid=b682fc4c-e9eb-4971-a203-c2d6f4feab39"]}],"mendeley":{"formattedCitation":"[23]","plainTextFormattedCitation":"[23]","previouslyFormattedCitation":"[22]"},"properties":{"noteIndex":0},"schema":"https://github.com/citation-style-language/schema/raw/master/csl-citation.json"}</w:instrText>
      </w:r>
      <w:r w:rsidR="0077005B">
        <w:rPr>
          <w:sz w:val="22"/>
          <w:szCs w:val="22"/>
        </w:rPr>
        <w:fldChar w:fldCharType="separate"/>
      </w:r>
      <w:r w:rsidR="009D6DFA" w:rsidRPr="009D6DFA">
        <w:rPr>
          <w:noProof/>
          <w:sz w:val="22"/>
          <w:szCs w:val="22"/>
        </w:rPr>
        <w:t>[23]</w:t>
      </w:r>
      <w:r w:rsidR="0077005B">
        <w:rPr>
          <w:sz w:val="22"/>
          <w:szCs w:val="22"/>
        </w:rPr>
        <w:fldChar w:fldCharType="end"/>
      </w:r>
      <w:r w:rsidR="00EE7FE5">
        <w:rPr>
          <w:sz w:val="22"/>
          <w:szCs w:val="22"/>
        </w:rPr>
        <w:t>.</w:t>
      </w:r>
    </w:p>
    <w:p w14:paraId="693757BC" w14:textId="0C4245AE" w:rsidR="00FB6C58" w:rsidRDefault="00FB6C58" w:rsidP="00FA1EDC">
      <w:pPr>
        <w:pStyle w:val="BodyTextIndent"/>
        <w:rPr>
          <w:sz w:val="22"/>
          <w:szCs w:val="22"/>
        </w:rPr>
      </w:pPr>
    </w:p>
    <w:p w14:paraId="0985D306" w14:textId="6BC48736" w:rsidR="00FB6C58" w:rsidRDefault="00FB6C58" w:rsidP="00FB6C58">
      <w:pPr>
        <w:pStyle w:val="AbstractClauseTitle"/>
        <w:jc w:val="left"/>
        <w:rPr>
          <w:rFonts w:ascii="Times New Roman" w:hAnsi="Times New Roman"/>
          <w:caps w:val="0"/>
          <w:sz w:val="22"/>
          <w:szCs w:val="22"/>
        </w:rPr>
      </w:pPr>
      <w:r w:rsidRPr="00BB7497">
        <w:rPr>
          <w:rFonts w:ascii="Times New Roman" w:hAnsi="Times New Roman"/>
          <w:sz w:val="22"/>
          <w:szCs w:val="22"/>
        </w:rPr>
        <w:t>I</w:t>
      </w:r>
      <w:r>
        <w:rPr>
          <w:rFonts w:ascii="Times New Roman" w:hAnsi="Times New Roman"/>
          <w:sz w:val="22"/>
          <w:szCs w:val="22"/>
        </w:rPr>
        <w:t>V</w:t>
      </w:r>
      <w:r w:rsidRPr="00BB7497">
        <w:rPr>
          <w:rFonts w:ascii="Times New Roman" w:hAnsi="Times New Roman"/>
          <w:sz w:val="22"/>
          <w:szCs w:val="22"/>
        </w:rPr>
        <w:t xml:space="preserve">. </w:t>
      </w:r>
      <w:r>
        <w:rPr>
          <w:rFonts w:ascii="Times New Roman" w:hAnsi="Times New Roman"/>
          <w:caps w:val="0"/>
          <w:sz w:val="22"/>
          <w:szCs w:val="22"/>
        </w:rPr>
        <w:t>Results</w:t>
      </w:r>
    </w:p>
    <w:p w14:paraId="50E2027A" w14:textId="24FD57F4" w:rsidR="00FB6C58" w:rsidRDefault="00FB6C58" w:rsidP="00FA1EDC">
      <w:pPr>
        <w:pStyle w:val="BodyTextIndent"/>
        <w:rPr>
          <w:sz w:val="22"/>
          <w:szCs w:val="22"/>
        </w:rPr>
      </w:pPr>
    </w:p>
    <w:p w14:paraId="27C75094" w14:textId="40C89F60" w:rsidR="00490CA0" w:rsidRDefault="007C31BF" w:rsidP="00F7098D">
      <w:pPr>
        <w:pStyle w:val="BodyTextIndent"/>
        <w:rPr>
          <w:sz w:val="22"/>
          <w:szCs w:val="22"/>
        </w:rPr>
      </w:pPr>
      <w:r w:rsidRPr="007C31BF">
        <w:rPr>
          <w:sz w:val="22"/>
          <w:szCs w:val="22"/>
        </w:rPr>
        <w:t xml:space="preserve">The void fraction is a significant parameter that plays </w:t>
      </w:r>
      <w:r w:rsidR="00E316B1">
        <w:rPr>
          <w:sz w:val="22"/>
          <w:szCs w:val="22"/>
        </w:rPr>
        <w:t xml:space="preserve">an essential part </w:t>
      </w:r>
      <w:r w:rsidRPr="007C31BF">
        <w:rPr>
          <w:sz w:val="22"/>
          <w:szCs w:val="22"/>
        </w:rPr>
        <w:t xml:space="preserve">in the characterization of the hydrodynamic structures of two-phase systems. </w:t>
      </w:r>
      <w:r w:rsidR="00E83BB5">
        <w:rPr>
          <w:sz w:val="22"/>
          <w:szCs w:val="22"/>
        </w:rPr>
        <w:t xml:space="preserve">Moreover, </w:t>
      </w:r>
      <w:r w:rsidRPr="007C31BF">
        <w:rPr>
          <w:sz w:val="22"/>
          <w:szCs w:val="22"/>
        </w:rPr>
        <w:t xml:space="preserve">void fraction </w:t>
      </w:r>
      <w:r w:rsidR="004205A7" w:rsidRPr="007C31BF">
        <w:rPr>
          <w:sz w:val="22"/>
          <w:szCs w:val="22"/>
        </w:rPr>
        <w:t>is influenced</w:t>
      </w:r>
      <w:r w:rsidRPr="007C31BF">
        <w:rPr>
          <w:sz w:val="22"/>
          <w:szCs w:val="22"/>
        </w:rPr>
        <w:t xml:space="preserve"> by a multitude of factors. The factors to consider in this context are the</w:t>
      </w:r>
      <w:r w:rsidR="00C95EFE">
        <w:rPr>
          <w:sz w:val="22"/>
          <w:szCs w:val="22"/>
        </w:rPr>
        <w:t xml:space="preserve"> </w:t>
      </w:r>
      <w:r w:rsidR="00601EAA">
        <w:rPr>
          <w:sz w:val="22"/>
          <w:szCs w:val="22"/>
        </w:rPr>
        <w:t>spacer grids,</w:t>
      </w:r>
      <w:r w:rsidRPr="007C31BF">
        <w:rPr>
          <w:sz w:val="22"/>
          <w:szCs w:val="22"/>
        </w:rPr>
        <w:t xml:space="preserve"> geometric design of the column, such as rectangular ducts or round pipes, as well as the characteristics of the wall surface, gas distributor configuration, and the physical properties of both the liquid and gas phases. Further, the influence of operational parameters, including superficial velocities of gas and liquid phases, pressure, and temperature, should not be overlooked. Figure </w:t>
      </w:r>
      <w:r w:rsidR="0051423C">
        <w:rPr>
          <w:sz w:val="22"/>
          <w:szCs w:val="22"/>
        </w:rPr>
        <w:t>5</w:t>
      </w:r>
      <w:r w:rsidRPr="007C31BF">
        <w:rPr>
          <w:sz w:val="22"/>
          <w:szCs w:val="22"/>
        </w:rPr>
        <w:t xml:space="preserve"> illustrates the findings pertaining to the </w:t>
      </w:r>
      <w:r w:rsidR="00A96735">
        <w:rPr>
          <w:sz w:val="22"/>
          <w:szCs w:val="22"/>
        </w:rPr>
        <w:t>distribution</w:t>
      </w:r>
      <w:r w:rsidRPr="007C31BF">
        <w:rPr>
          <w:sz w:val="22"/>
          <w:szCs w:val="22"/>
        </w:rPr>
        <w:t xml:space="preserve"> of local void fraction across the radial locations within the cross-sectional region of a</w:t>
      </w:r>
      <w:r w:rsidR="00B82AFA" w:rsidRPr="007C31BF">
        <w:rPr>
          <w:sz w:val="22"/>
          <w:szCs w:val="22"/>
        </w:rPr>
        <w:t xml:space="preserve"> 5x5</w:t>
      </w:r>
      <w:r w:rsidRPr="007C31BF">
        <w:rPr>
          <w:sz w:val="22"/>
          <w:szCs w:val="22"/>
        </w:rPr>
        <w:t xml:space="preserve"> rod bundle. </w:t>
      </w:r>
      <w:r w:rsidR="00891BA0">
        <w:rPr>
          <w:sz w:val="22"/>
          <w:szCs w:val="22"/>
        </w:rPr>
        <w:t xml:space="preserve">It is important to note </w:t>
      </w:r>
      <w:r w:rsidR="00B017CA">
        <w:rPr>
          <w:sz w:val="22"/>
          <w:szCs w:val="22"/>
        </w:rPr>
        <w:t xml:space="preserve">that the </w:t>
      </w:r>
      <w:r w:rsidR="006665EC">
        <w:rPr>
          <w:sz w:val="22"/>
          <w:szCs w:val="22"/>
        </w:rPr>
        <w:t>semi-</w:t>
      </w:r>
      <w:r w:rsidR="00B017CA">
        <w:rPr>
          <w:sz w:val="22"/>
          <w:szCs w:val="22"/>
        </w:rPr>
        <w:t>transparent pink bars</w:t>
      </w:r>
      <w:r w:rsidR="00951248" w:rsidRPr="00951248">
        <w:rPr>
          <w:sz w:val="22"/>
          <w:szCs w:val="22"/>
        </w:rPr>
        <w:t xml:space="preserve"> </w:t>
      </w:r>
      <w:r w:rsidR="00951248">
        <w:rPr>
          <w:sz w:val="22"/>
          <w:szCs w:val="22"/>
        </w:rPr>
        <w:t>in Fig 5</w:t>
      </w:r>
      <w:r w:rsidR="00B017CA">
        <w:rPr>
          <w:sz w:val="22"/>
          <w:szCs w:val="22"/>
        </w:rPr>
        <w:t xml:space="preserve"> represent the rods</w:t>
      </w:r>
      <w:r w:rsidR="003E36CA">
        <w:rPr>
          <w:sz w:val="22"/>
          <w:szCs w:val="22"/>
        </w:rPr>
        <w:t xml:space="preserve">. </w:t>
      </w:r>
      <w:r w:rsidRPr="007C31BF">
        <w:rPr>
          <w:sz w:val="22"/>
          <w:szCs w:val="22"/>
        </w:rPr>
        <w:t>The void fraction</w:t>
      </w:r>
      <w:r w:rsidR="004240B0">
        <w:rPr>
          <w:sz w:val="22"/>
          <w:szCs w:val="22"/>
        </w:rPr>
        <w:t xml:space="preserve"> </w:t>
      </w:r>
      <w:r w:rsidR="00A96735">
        <w:rPr>
          <w:sz w:val="22"/>
          <w:szCs w:val="22"/>
        </w:rPr>
        <w:t>distribution</w:t>
      </w:r>
      <w:r w:rsidRPr="007C31BF">
        <w:rPr>
          <w:sz w:val="22"/>
          <w:szCs w:val="22"/>
        </w:rPr>
        <w:t xml:space="preserve"> profiles for the wall-peak</w:t>
      </w:r>
      <w:r w:rsidR="00184F70">
        <w:rPr>
          <w:sz w:val="22"/>
          <w:szCs w:val="22"/>
        </w:rPr>
        <w:t>,</w:t>
      </w:r>
      <w:r w:rsidRPr="007C31BF">
        <w:rPr>
          <w:sz w:val="22"/>
          <w:szCs w:val="22"/>
        </w:rPr>
        <w:t xml:space="preserve"> core-peak</w:t>
      </w:r>
      <w:r w:rsidR="00184F70">
        <w:rPr>
          <w:sz w:val="22"/>
          <w:szCs w:val="22"/>
        </w:rPr>
        <w:t>, and the transition</w:t>
      </w:r>
      <w:r w:rsidRPr="007C31BF">
        <w:rPr>
          <w:sz w:val="22"/>
          <w:szCs w:val="22"/>
        </w:rPr>
        <w:t xml:space="preserve"> have been effectively obtained.</w:t>
      </w:r>
      <w:r w:rsidR="000579A5">
        <w:rPr>
          <w:sz w:val="22"/>
          <w:szCs w:val="22"/>
        </w:rPr>
        <w:t xml:space="preserve"> </w:t>
      </w:r>
      <w:r w:rsidR="00A427E8">
        <w:rPr>
          <w:sz w:val="22"/>
          <w:szCs w:val="22"/>
        </w:rPr>
        <w:t>In</w:t>
      </w:r>
      <w:r w:rsidR="000A2A90">
        <w:rPr>
          <w:sz w:val="22"/>
          <w:szCs w:val="22"/>
        </w:rPr>
        <w:t xml:space="preserve"> the</w:t>
      </w:r>
      <w:r w:rsidR="00A427E8">
        <w:rPr>
          <w:sz w:val="22"/>
          <w:szCs w:val="22"/>
        </w:rPr>
        <w:t xml:space="preserve"> low flow condition</w:t>
      </w:r>
      <w:r w:rsidR="002770F8">
        <w:rPr>
          <w:sz w:val="22"/>
          <w:szCs w:val="22"/>
        </w:rPr>
        <w:t xml:space="preserve"> of the two-phase</w:t>
      </w:r>
      <w:r w:rsidR="00594D1B">
        <w:rPr>
          <w:sz w:val="22"/>
          <w:szCs w:val="22"/>
        </w:rPr>
        <w:t xml:space="preserve"> flow</w:t>
      </w:r>
      <w:r w:rsidR="00A427E8">
        <w:rPr>
          <w:sz w:val="22"/>
          <w:szCs w:val="22"/>
        </w:rPr>
        <w:t xml:space="preserve"> (</w:t>
      </w:r>
      <w:r w:rsidR="00346FAA" w:rsidRPr="00940F0A">
        <w:rPr>
          <w:rFonts w:asciiTheme="majorHAnsi" w:hAnsiTheme="majorHAnsi"/>
          <w:i/>
          <w:iCs/>
          <w:sz w:val="22"/>
          <w:szCs w:val="22"/>
        </w:rPr>
        <w:t>J</w:t>
      </w:r>
      <w:r w:rsidR="00346FAA" w:rsidRPr="005F25AF">
        <w:rPr>
          <w:rFonts w:asciiTheme="majorHAnsi" w:hAnsiTheme="majorHAnsi"/>
          <w:i/>
          <w:iCs/>
          <w:sz w:val="22"/>
          <w:szCs w:val="22"/>
          <w:vertAlign w:val="subscript"/>
        </w:rPr>
        <w:t>f</w:t>
      </w:r>
      <w:r w:rsidR="00346FAA">
        <w:rPr>
          <w:rFonts w:asciiTheme="majorHAnsi" w:hAnsiTheme="majorHAnsi"/>
          <w:i/>
          <w:iCs/>
          <w:sz w:val="22"/>
          <w:szCs w:val="22"/>
          <w:vertAlign w:val="subscript"/>
        </w:rPr>
        <w:t xml:space="preserve"> </w:t>
      </w:r>
      <w:r w:rsidR="00346FAA">
        <w:rPr>
          <w:rFonts w:asciiTheme="majorHAnsi" w:hAnsiTheme="majorHAnsi"/>
          <w:i/>
          <w:iCs/>
          <w:sz w:val="22"/>
          <w:szCs w:val="22"/>
        </w:rPr>
        <w:t>=</w:t>
      </w:r>
      <w:r w:rsidR="00F9665C">
        <w:rPr>
          <w:sz w:val="22"/>
          <w:szCs w:val="22"/>
        </w:rPr>
        <w:t xml:space="preserve"> </w:t>
      </w:r>
      <w:r w:rsidR="000C6BDD">
        <w:rPr>
          <w:sz w:val="22"/>
          <w:szCs w:val="22"/>
        </w:rPr>
        <w:t xml:space="preserve">0.3 m/s, </w:t>
      </w:r>
      <w:r w:rsidR="000C6BDD" w:rsidRPr="00940F0A">
        <w:rPr>
          <w:rFonts w:asciiTheme="majorHAnsi" w:hAnsiTheme="majorHAnsi"/>
          <w:i/>
          <w:iCs/>
          <w:sz w:val="22"/>
          <w:szCs w:val="22"/>
        </w:rPr>
        <w:t>J</w:t>
      </w:r>
      <w:r w:rsidR="000C6BDD" w:rsidRPr="005F25AF">
        <w:rPr>
          <w:rFonts w:asciiTheme="majorHAnsi" w:hAnsiTheme="majorHAnsi"/>
          <w:i/>
          <w:iCs/>
          <w:sz w:val="22"/>
          <w:szCs w:val="22"/>
          <w:vertAlign w:val="subscript"/>
        </w:rPr>
        <w:t>g</w:t>
      </w:r>
      <w:r w:rsidR="00F9665C">
        <w:rPr>
          <w:rFonts w:asciiTheme="majorHAnsi" w:hAnsiTheme="majorHAnsi"/>
          <w:i/>
          <w:iCs/>
          <w:sz w:val="22"/>
          <w:szCs w:val="22"/>
        </w:rPr>
        <w:t xml:space="preserve"> </w:t>
      </w:r>
      <w:r w:rsidR="000C6BDD">
        <w:rPr>
          <w:sz w:val="22"/>
          <w:szCs w:val="22"/>
        </w:rPr>
        <w:t>=</w:t>
      </w:r>
      <w:r w:rsidR="00F9665C">
        <w:rPr>
          <w:sz w:val="22"/>
          <w:szCs w:val="22"/>
        </w:rPr>
        <w:t xml:space="preserve"> </w:t>
      </w:r>
      <w:r w:rsidR="000C6BDD">
        <w:rPr>
          <w:sz w:val="22"/>
          <w:szCs w:val="22"/>
        </w:rPr>
        <w:t>0.124</w:t>
      </w:r>
      <w:r w:rsidR="006C0B0F">
        <w:rPr>
          <w:sz w:val="22"/>
          <w:szCs w:val="22"/>
        </w:rPr>
        <w:t xml:space="preserve"> m/s</w:t>
      </w:r>
      <w:r w:rsidR="000C6BDD">
        <w:rPr>
          <w:sz w:val="22"/>
          <w:szCs w:val="22"/>
        </w:rPr>
        <w:t xml:space="preserve">) </w:t>
      </w:r>
      <w:r w:rsidR="000645EC" w:rsidRPr="000645EC">
        <w:rPr>
          <w:sz w:val="22"/>
          <w:szCs w:val="22"/>
        </w:rPr>
        <w:t xml:space="preserve">the void fraction exhibits a radial </w:t>
      </w:r>
      <w:r w:rsidR="00F62B2E">
        <w:rPr>
          <w:sz w:val="22"/>
          <w:szCs w:val="22"/>
        </w:rPr>
        <w:t>core</w:t>
      </w:r>
      <w:r w:rsidR="000645EC" w:rsidRPr="000645EC">
        <w:rPr>
          <w:sz w:val="22"/>
          <w:szCs w:val="22"/>
        </w:rPr>
        <w:t xml:space="preserve">-peaking profile in the cross section at </w:t>
      </w:r>
      <w:r w:rsidR="000645EC" w:rsidRPr="00554974">
        <w:rPr>
          <w:rFonts w:asciiTheme="majorHAnsi" w:hAnsiTheme="majorHAnsi"/>
          <w:i/>
          <w:iCs/>
          <w:sz w:val="22"/>
          <w:szCs w:val="22"/>
        </w:rPr>
        <w:t>z/D</w:t>
      </w:r>
      <w:r w:rsidR="000645EC" w:rsidRPr="00554974">
        <w:rPr>
          <w:rFonts w:asciiTheme="majorHAnsi" w:hAnsiTheme="majorHAnsi"/>
          <w:i/>
          <w:iCs/>
          <w:sz w:val="22"/>
          <w:szCs w:val="22"/>
          <w:vertAlign w:val="subscript"/>
        </w:rPr>
        <w:t>H</w:t>
      </w:r>
      <w:r w:rsidR="00346FAA">
        <w:rPr>
          <w:rFonts w:asciiTheme="majorHAnsi" w:hAnsiTheme="majorHAnsi"/>
          <w:i/>
          <w:iCs/>
          <w:sz w:val="22"/>
          <w:szCs w:val="22"/>
          <w:vertAlign w:val="subscript"/>
        </w:rPr>
        <w:t xml:space="preserve"> </w:t>
      </w:r>
      <w:r w:rsidR="000645EC">
        <w:rPr>
          <w:sz w:val="22"/>
          <w:szCs w:val="22"/>
        </w:rPr>
        <w:t>=</w:t>
      </w:r>
      <w:r w:rsidR="00346FAA">
        <w:rPr>
          <w:sz w:val="22"/>
          <w:szCs w:val="22"/>
        </w:rPr>
        <w:t xml:space="preserve"> </w:t>
      </w:r>
      <w:r w:rsidR="000645EC" w:rsidRPr="000645EC">
        <w:rPr>
          <w:sz w:val="22"/>
          <w:szCs w:val="22"/>
        </w:rPr>
        <w:t>67.6</w:t>
      </w:r>
      <w:r w:rsidR="000645EC">
        <w:rPr>
          <w:sz w:val="22"/>
          <w:szCs w:val="22"/>
        </w:rPr>
        <w:t>.</w:t>
      </w:r>
      <w:r w:rsidR="00DC002D">
        <w:rPr>
          <w:sz w:val="22"/>
          <w:szCs w:val="22"/>
        </w:rPr>
        <w:t xml:space="preserve"> </w:t>
      </w:r>
      <w:r w:rsidR="00E30145">
        <w:rPr>
          <w:sz w:val="22"/>
          <w:szCs w:val="22"/>
        </w:rPr>
        <w:t xml:space="preserve">The void fraction </w:t>
      </w:r>
      <w:r w:rsidR="00FF527F">
        <w:rPr>
          <w:sz w:val="22"/>
          <w:szCs w:val="22"/>
        </w:rPr>
        <w:t xml:space="preserve">measured at the </w:t>
      </w:r>
      <w:r w:rsidR="0060646F">
        <w:rPr>
          <w:sz w:val="22"/>
          <w:szCs w:val="22"/>
        </w:rPr>
        <w:t>subchannel,</w:t>
      </w:r>
      <w:r w:rsidR="00FA680F">
        <w:rPr>
          <w:sz w:val="22"/>
          <w:szCs w:val="22"/>
        </w:rPr>
        <w:t xml:space="preserve"> and wall channel is </w:t>
      </w:r>
      <w:r w:rsidR="00C15FA2" w:rsidRPr="00C15FA2">
        <w:rPr>
          <w:sz w:val="22"/>
          <w:szCs w:val="22"/>
        </w:rPr>
        <w:t>significantly higher</w:t>
      </w:r>
      <w:r w:rsidR="00845AA8">
        <w:rPr>
          <w:sz w:val="22"/>
          <w:szCs w:val="22"/>
        </w:rPr>
        <w:t xml:space="preserve"> than those </w:t>
      </w:r>
      <w:r w:rsidR="0060646F">
        <w:rPr>
          <w:sz w:val="22"/>
          <w:szCs w:val="22"/>
        </w:rPr>
        <w:t xml:space="preserve">in the gap between the </w:t>
      </w:r>
      <w:r w:rsidR="00656B9D">
        <w:rPr>
          <w:sz w:val="22"/>
          <w:szCs w:val="22"/>
        </w:rPr>
        <w:t>rods</w:t>
      </w:r>
      <w:r w:rsidR="0060646F">
        <w:rPr>
          <w:sz w:val="22"/>
          <w:szCs w:val="22"/>
        </w:rPr>
        <w:t xml:space="preserve">. </w:t>
      </w:r>
      <w:r w:rsidR="00E30B13">
        <w:rPr>
          <w:sz w:val="22"/>
          <w:szCs w:val="22"/>
        </w:rPr>
        <w:t xml:space="preserve">This phenomenon occurs </w:t>
      </w:r>
      <w:r w:rsidR="00704987">
        <w:rPr>
          <w:sz w:val="22"/>
          <w:szCs w:val="22"/>
        </w:rPr>
        <w:t>due to the</w:t>
      </w:r>
      <w:r w:rsidR="00A963D3">
        <w:rPr>
          <w:sz w:val="22"/>
          <w:szCs w:val="22"/>
        </w:rPr>
        <w:t xml:space="preserve"> expansion</w:t>
      </w:r>
      <w:r w:rsidR="00062AF4">
        <w:rPr>
          <w:sz w:val="22"/>
          <w:szCs w:val="22"/>
        </w:rPr>
        <w:t xml:space="preserve"> of the large bubbles, as well as their</w:t>
      </w:r>
      <w:r w:rsidR="006D3AC9">
        <w:rPr>
          <w:sz w:val="22"/>
          <w:szCs w:val="22"/>
        </w:rPr>
        <w:t xml:space="preserve"> </w:t>
      </w:r>
      <w:r w:rsidR="00023A3B">
        <w:rPr>
          <w:sz w:val="22"/>
          <w:szCs w:val="22"/>
        </w:rPr>
        <w:t>movement</w:t>
      </w:r>
      <w:r w:rsidR="006D3AC9">
        <w:rPr>
          <w:sz w:val="22"/>
          <w:szCs w:val="22"/>
        </w:rPr>
        <w:t xml:space="preserve"> from </w:t>
      </w:r>
      <w:r w:rsidR="00B97677">
        <w:rPr>
          <w:sz w:val="22"/>
          <w:szCs w:val="22"/>
        </w:rPr>
        <w:t xml:space="preserve">low liquid </w:t>
      </w:r>
      <w:r w:rsidR="000B08AE">
        <w:rPr>
          <w:sz w:val="22"/>
          <w:szCs w:val="22"/>
        </w:rPr>
        <w:t>velocity area</w:t>
      </w:r>
      <w:r w:rsidR="00CB25E2">
        <w:rPr>
          <w:sz w:val="22"/>
          <w:szCs w:val="22"/>
        </w:rPr>
        <w:t>s</w:t>
      </w:r>
      <w:r w:rsidR="000B08AE">
        <w:rPr>
          <w:sz w:val="22"/>
          <w:szCs w:val="22"/>
        </w:rPr>
        <w:t xml:space="preserve"> to </w:t>
      </w:r>
      <w:r w:rsidR="00CB25E2">
        <w:rPr>
          <w:sz w:val="22"/>
          <w:szCs w:val="22"/>
        </w:rPr>
        <w:t xml:space="preserve">the high liquid </w:t>
      </w:r>
      <w:r w:rsidR="003876D9">
        <w:rPr>
          <w:sz w:val="22"/>
          <w:szCs w:val="22"/>
        </w:rPr>
        <w:t>velocity areas</w:t>
      </w:r>
      <w:r w:rsidR="00505D15">
        <w:rPr>
          <w:sz w:val="22"/>
          <w:szCs w:val="22"/>
        </w:rPr>
        <w:t>.</w:t>
      </w:r>
      <w:r w:rsidR="00E5353C">
        <w:rPr>
          <w:sz w:val="22"/>
          <w:szCs w:val="22"/>
        </w:rPr>
        <w:t xml:space="preserve"> </w:t>
      </w:r>
      <w:r w:rsidR="005F0F06">
        <w:rPr>
          <w:sz w:val="22"/>
          <w:szCs w:val="22"/>
        </w:rPr>
        <w:t>For the high flow condition (</w:t>
      </w:r>
      <w:r w:rsidR="005F0F06" w:rsidRPr="00940F0A">
        <w:rPr>
          <w:rFonts w:asciiTheme="majorHAnsi" w:hAnsiTheme="majorHAnsi" w:cstheme="minorHAnsi"/>
          <w:i/>
          <w:iCs/>
          <w:sz w:val="22"/>
          <w:szCs w:val="22"/>
        </w:rPr>
        <w:t>J</w:t>
      </w:r>
      <w:r w:rsidR="005F0F06" w:rsidRPr="00940F0A">
        <w:rPr>
          <w:rFonts w:asciiTheme="majorHAnsi" w:hAnsiTheme="majorHAnsi" w:cstheme="minorHAnsi"/>
          <w:i/>
          <w:iCs/>
          <w:sz w:val="22"/>
          <w:szCs w:val="22"/>
          <w:vertAlign w:val="subscript"/>
        </w:rPr>
        <w:t>f</w:t>
      </w:r>
      <w:r w:rsidR="006D684F">
        <w:rPr>
          <w:i/>
          <w:iCs/>
          <w:sz w:val="22"/>
          <w:szCs w:val="22"/>
        </w:rPr>
        <w:t xml:space="preserve"> </w:t>
      </w:r>
      <w:r w:rsidR="005F0F06">
        <w:rPr>
          <w:sz w:val="22"/>
          <w:szCs w:val="22"/>
        </w:rPr>
        <w:t>=</w:t>
      </w:r>
      <w:r w:rsidR="006D684F">
        <w:rPr>
          <w:sz w:val="22"/>
          <w:szCs w:val="22"/>
        </w:rPr>
        <w:t xml:space="preserve"> </w:t>
      </w:r>
      <w:r w:rsidR="005F0F06">
        <w:rPr>
          <w:sz w:val="22"/>
          <w:szCs w:val="22"/>
        </w:rPr>
        <w:t xml:space="preserve">1.0 m/s, </w:t>
      </w:r>
      <w:r w:rsidR="005F0F06" w:rsidRPr="00940F0A">
        <w:rPr>
          <w:rFonts w:asciiTheme="majorHAnsi" w:hAnsiTheme="majorHAnsi"/>
          <w:i/>
          <w:iCs/>
          <w:sz w:val="22"/>
          <w:szCs w:val="22"/>
        </w:rPr>
        <w:t>J</w:t>
      </w:r>
      <w:r w:rsidR="005F0F06" w:rsidRPr="00940F0A">
        <w:rPr>
          <w:rFonts w:asciiTheme="majorHAnsi" w:hAnsiTheme="majorHAnsi"/>
          <w:i/>
          <w:iCs/>
          <w:sz w:val="22"/>
          <w:szCs w:val="22"/>
          <w:vertAlign w:val="subscript"/>
        </w:rPr>
        <w:t>g</w:t>
      </w:r>
      <w:r w:rsidR="006D684F">
        <w:rPr>
          <w:i/>
          <w:iCs/>
          <w:sz w:val="22"/>
          <w:szCs w:val="22"/>
        </w:rPr>
        <w:t xml:space="preserve"> </w:t>
      </w:r>
      <w:r w:rsidR="005F0F06">
        <w:rPr>
          <w:sz w:val="22"/>
          <w:szCs w:val="22"/>
        </w:rPr>
        <w:t>=</w:t>
      </w:r>
      <w:r w:rsidR="006D684F">
        <w:rPr>
          <w:sz w:val="22"/>
          <w:szCs w:val="22"/>
        </w:rPr>
        <w:t xml:space="preserve"> </w:t>
      </w:r>
      <w:r w:rsidR="005F0F06">
        <w:rPr>
          <w:sz w:val="22"/>
          <w:szCs w:val="22"/>
        </w:rPr>
        <w:t xml:space="preserve">0.2 m/s) </w:t>
      </w:r>
      <w:r w:rsidR="006C2DB8" w:rsidRPr="006C2DB8">
        <w:rPr>
          <w:sz w:val="22"/>
          <w:szCs w:val="22"/>
        </w:rPr>
        <w:t>The observed radial wall-peaking profiles can potentially be attributed to</w:t>
      </w:r>
      <w:r w:rsidR="00E72BC1" w:rsidRPr="00E72BC1">
        <w:t xml:space="preserve"> </w:t>
      </w:r>
      <w:r w:rsidR="00E72BC1" w:rsidRPr="00E72BC1">
        <w:rPr>
          <w:sz w:val="22"/>
          <w:szCs w:val="22"/>
        </w:rPr>
        <w:t>turbulence effect</w:t>
      </w:r>
      <w:r w:rsidR="00875B2D">
        <w:rPr>
          <w:sz w:val="22"/>
          <w:szCs w:val="22"/>
        </w:rPr>
        <w:t xml:space="preserve"> </w:t>
      </w:r>
      <w:r w:rsidR="0068332E">
        <w:rPr>
          <w:sz w:val="22"/>
          <w:szCs w:val="22"/>
        </w:rPr>
        <w:t xml:space="preserve">and </w:t>
      </w:r>
      <w:r w:rsidR="006F5B50">
        <w:rPr>
          <w:sz w:val="22"/>
          <w:szCs w:val="22"/>
        </w:rPr>
        <w:t xml:space="preserve">strong </w:t>
      </w:r>
      <w:r w:rsidR="000855CC">
        <w:rPr>
          <w:sz w:val="22"/>
          <w:szCs w:val="22"/>
        </w:rPr>
        <w:t xml:space="preserve">swirling bubble motions which lead the bubble </w:t>
      </w:r>
      <w:r w:rsidR="007A10C8">
        <w:rPr>
          <w:sz w:val="22"/>
          <w:szCs w:val="22"/>
        </w:rPr>
        <w:t xml:space="preserve">heading </w:t>
      </w:r>
      <w:r w:rsidR="0068332E">
        <w:rPr>
          <w:sz w:val="22"/>
          <w:szCs w:val="22"/>
        </w:rPr>
        <w:t>toward</w:t>
      </w:r>
      <w:r w:rsidR="002D2C83">
        <w:rPr>
          <w:sz w:val="22"/>
          <w:szCs w:val="22"/>
        </w:rPr>
        <w:t xml:space="preserve"> to</w:t>
      </w:r>
      <w:r w:rsidR="000855CC">
        <w:rPr>
          <w:sz w:val="22"/>
          <w:szCs w:val="22"/>
        </w:rPr>
        <w:t xml:space="preserve"> the </w:t>
      </w:r>
      <w:r w:rsidR="008E1B07">
        <w:rPr>
          <w:sz w:val="22"/>
          <w:szCs w:val="22"/>
        </w:rPr>
        <w:t>wall (rods)</w:t>
      </w:r>
      <w:r w:rsidR="002D2C83">
        <w:rPr>
          <w:sz w:val="22"/>
          <w:szCs w:val="22"/>
        </w:rPr>
        <w:t>.</w:t>
      </w:r>
      <w:r w:rsidR="005038DD">
        <w:rPr>
          <w:sz w:val="22"/>
          <w:szCs w:val="22"/>
        </w:rPr>
        <w:t xml:space="preserve"> </w:t>
      </w:r>
      <w:r w:rsidR="00FA4BF5" w:rsidRPr="00FA4BF5">
        <w:rPr>
          <w:sz w:val="22"/>
          <w:szCs w:val="22"/>
        </w:rPr>
        <w:t>In the given flow condition (</w:t>
      </w:r>
      <w:r w:rsidR="00FA4BF5" w:rsidRPr="00940F0A">
        <w:rPr>
          <w:rFonts w:asciiTheme="majorHAnsi" w:hAnsiTheme="majorHAnsi"/>
          <w:i/>
          <w:iCs/>
          <w:sz w:val="22"/>
          <w:szCs w:val="22"/>
        </w:rPr>
        <w:t>J</w:t>
      </w:r>
      <w:r w:rsidR="00FA4BF5" w:rsidRPr="00940F0A">
        <w:rPr>
          <w:rFonts w:asciiTheme="majorHAnsi" w:hAnsiTheme="majorHAnsi"/>
          <w:i/>
          <w:iCs/>
          <w:sz w:val="22"/>
          <w:szCs w:val="22"/>
          <w:vertAlign w:val="subscript"/>
        </w:rPr>
        <w:t>f</w:t>
      </w:r>
      <w:r w:rsidR="006D684F">
        <w:rPr>
          <w:i/>
          <w:iCs/>
          <w:sz w:val="22"/>
          <w:szCs w:val="22"/>
        </w:rPr>
        <w:t xml:space="preserve"> </w:t>
      </w:r>
      <w:r w:rsidR="00FA4BF5" w:rsidRPr="00FA4BF5">
        <w:rPr>
          <w:sz w:val="22"/>
          <w:szCs w:val="22"/>
        </w:rPr>
        <w:t>=</w:t>
      </w:r>
      <w:r w:rsidR="006D684F">
        <w:rPr>
          <w:sz w:val="22"/>
          <w:szCs w:val="22"/>
        </w:rPr>
        <w:t xml:space="preserve"> </w:t>
      </w:r>
      <w:r w:rsidR="00FA4BF5" w:rsidRPr="00FA4BF5">
        <w:rPr>
          <w:sz w:val="22"/>
          <w:szCs w:val="22"/>
        </w:rPr>
        <w:t xml:space="preserve">0.6 m/s, </w:t>
      </w:r>
      <w:r w:rsidR="00FA4BF5" w:rsidRPr="00940F0A">
        <w:rPr>
          <w:rFonts w:asciiTheme="majorHAnsi" w:hAnsiTheme="majorHAnsi"/>
          <w:i/>
          <w:iCs/>
          <w:sz w:val="22"/>
          <w:szCs w:val="22"/>
        </w:rPr>
        <w:t>J</w:t>
      </w:r>
      <w:r w:rsidR="00FA4BF5" w:rsidRPr="00940F0A">
        <w:rPr>
          <w:rFonts w:asciiTheme="majorHAnsi" w:hAnsiTheme="majorHAnsi"/>
          <w:i/>
          <w:iCs/>
          <w:sz w:val="22"/>
          <w:szCs w:val="22"/>
          <w:vertAlign w:val="subscript"/>
        </w:rPr>
        <w:t>g</w:t>
      </w:r>
      <w:r w:rsidR="006D684F">
        <w:rPr>
          <w:i/>
          <w:iCs/>
          <w:sz w:val="22"/>
          <w:szCs w:val="22"/>
        </w:rPr>
        <w:t xml:space="preserve"> </w:t>
      </w:r>
      <w:r w:rsidR="00FA4BF5" w:rsidRPr="00FA4BF5">
        <w:rPr>
          <w:sz w:val="22"/>
          <w:szCs w:val="22"/>
        </w:rPr>
        <w:t>=</w:t>
      </w:r>
      <w:r w:rsidR="006D684F">
        <w:rPr>
          <w:sz w:val="22"/>
          <w:szCs w:val="22"/>
        </w:rPr>
        <w:t xml:space="preserve"> </w:t>
      </w:r>
      <w:r w:rsidR="00FA4BF5" w:rsidRPr="00FA4BF5">
        <w:rPr>
          <w:sz w:val="22"/>
          <w:szCs w:val="22"/>
        </w:rPr>
        <w:t>0.043 m/s), the radial void fraction profile does not exhibit either a core-peaking or wall-peaking</w:t>
      </w:r>
      <w:r w:rsidR="00753A7A">
        <w:rPr>
          <w:sz w:val="22"/>
          <w:szCs w:val="22"/>
        </w:rPr>
        <w:t>.</w:t>
      </w:r>
      <w:r w:rsidR="00465870">
        <w:rPr>
          <w:sz w:val="22"/>
          <w:szCs w:val="22"/>
        </w:rPr>
        <w:t xml:space="preserve"> </w:t>
      </w:r>
      <w:r w:rsidR="00FA4BF5" w:rsidRPr="00FA4BF5">
        <w:rPr>
          <w:sz w:val="22"/>
          <w:szCs w:val="22"/>
        </w:rPr>
        <w:t>The observed flow condition can be considered as a transitional profile pattern that lies between the core-peaking and the wall-peaking phenomena.</w:t>
      </w:r>
    </w:p>
    <w:p w14:paraId="13DF7D1C" w14:textId="3F83295B" w:rsidR="00F63302" w:rsidRDefault="00D70937" w:rsidP="008A34E6">
      <w:pPr>
        <w:pStyle w:val="BodyTextIndent"/>
        <w:spacing w:after="240"/>
        <w:rPr>
          <w:sz w:val="22"/>
          <w:szCs w:val="22"/>
          <w:rtl/>
        </w:rPr>
      </w:pPr>
      <w:r>
        <w:rPr>
          <w:sz w:val="22"/>
          <w:szCs w:val="22"/>
        </w:rPr>
        <w:t xml:space="preserve">To further investigate the void fraction findings, </w:t>
      </w:r>
      <w:r w:rsidR="00371006">
        <w:rPr>
          <w:sz w:val="22"/>
          <w:szCs w:val="22"/>
        </w:rPr>
        <w:t xml:space="preserve">the bubble passage frequency, which is directly related to the void faction was measured. </w:t>
      </w:r>
      <w:r w:rsidR="00BB5070">
        <w:rPr>
          <w:sz w:val="22"/>
          <w:szCs w:val="22"/>
        </w:rPr>
        <w:t>Bubble passage frequency refers to the</w:t>
      </w:r>
      <w:r w:rsidR="006659C4">
        <w:rPr>
          <w:sz w:val="22"/>
          <w:szCs w:val="22"/>
        </w:rPr>
        <w:t xml:space="preserve"> </w:t>
      </w:r>
      <w:r w:rsidR="00CF60E7">
        <w:rPr>
          <w:sz w:val="22"/>
          <w:szCs w:val="22"/>
        </w:rPr>
        <w:t>number</w:t>
      </w:r>
      <w:r w:rsidR="006659C4">
        <w:rPr>
          <w:sz w:val="22"/>
          <w:szCs w:val="22"/>
        </w:rPr>
        <w:t xml:space="preserve"> of bubbles traversing </w:t>
      </w:r>
      <w:r w:rsidR="00A06E7D">
        <w:rPr>
          <w:sz w:val="22"/>
          <w:szCs w:val="22"/>
        </w:rPr>
        <w:t>a sp</w:t>
      </w:r>
      <w:r w:rsidR="00AC646D">
        <w:rPr>
          <w:sz w:val="22"/>
          <w:szCs w:val="22"/>
        </w:rPr>
        <w:t>ecified volume per unit of time.</w:t>
      </w:r>
      <w:r w:rsidR="00627E0A">
        <w:rPr>
          <w:sz w:val="22"/>
          <w:szCs w:val="22"/>
        </w:rPr>
        <w:t xml:space="preserve"> </w:t>
      </w:r>
      <w:r w:rsidR="00350420">
        <w:rPr>
          <w:sz w:val="22"/>
          <w:szCs w:val="22"/>
        </w:rPr>
        <w:t xml:space="preserve">In </w:t>
      </w:r>
      <w:r w:rsidR="00EF5B3E">
        <w:rPr>
          <w:sz w:val="22"/>
          <w:szCs w:val="22"/>
        </w:rPr>
        <w:t>this study</w:t>
      </w:r>
      <w:r w:rsidR="00473FEA">
        <w:rPr>
          <w:sz w:val="22"/>
          <w:szCs w:val="22"/>
        </w:rPr>
        <w:t>,</w:t>
      </w:r>
      <w:r w:rsidR="000362FA">
        <w:rPr>
          <w:sz w:val="22"/>
          <w:szCs w:val="22"/>
        </w:rPr>
        <w:t xml:space="preserve"> bubble passage </w:t>
      </w:r>
      <w:r w:rsidR="005F0B59">
        <w:rPr>
          <w:sz w:val="22"/>
          <w:szCs w:val="22"/>
        </w:rPr>
        <w:t>frequency</w:t>
      </w:r>
      <w:r w:rsidR="00875FDE">
        <w:rPr>
          <w:sz w:val="22"/>
          <w:szCs w:val="22"/>
        </w:rPr>
        <w:t xml:space="preserve"> </w:t>
      </w:r>
      <w:r w:rsidR="00350420">
        <w:rPr>
          <w:sz w:val="22"/>
          <w:szCs w:val="22"/>
        </w:rPr>
        <w:t xml:space="preserve">refers to the </w:t>
      </w:r>
      <w:r w:rsidR="00FC3A0A">
        <w:rPr>
          <w:sz w:val="22"/>
          <w:szCs w:val="22"/>
        </w:rPr>
        <w:t xml:space="preserve">number of </w:t>
      </w:r>
      <w:r w:rsidR="00350420">
        <w:rPr>
          <w:sz w:val="22"/>
          <w:szCs w:val="22"/>
        </w:rPr>
        <w:t>bubbles</w:t>
      </w:r>
      <w:r w:rsidR="008D603D">
        <w:rPr>
          <w:sz w:val="22"/>
          <w:szCs w:val="22"/>
        </w:rPr>
        <w:t xml:space="preserve"> that have</w:t>
      </w:r>
      <w:r w:rsidR="00AD17E9">
        <w:rPr>
          <w:sz w:val="22"/>
          <w:szCs w:val="22"/>
        </w:rPr>
        <w:t xml:space="preserve"> pass</w:t>
      </w:r>
      <w:r w:rsidR="008D603D">
        <w:rPr>
          <w:sz w:val="22"/>
          <w:szCs w:val="22"/>
        </w:rPr>
        <w:t>ed</w:t>
      </w:r>
      <w:r w:rsidR="00AD17E9">
        <w:rPr>
          <w:sz w:val="22"/>
          <w:szCs w:val="22"/>
        </w:rPr>
        <w:t xml:space="preserve"> through the central tip </w:t>
      </w:r>
      <w:r w:rsidR="00F22E4B">
        <w:rPr>
          <w:sz w:val="22"/>
          <w:szCs w:val="22"/>
        </w:rPr>
        <w:t>during</w:t>
      </w:r>
      <w:r w:rsidR="00692A57">
        <w:rPr>
          <w:sz w:val="22"/>
          <w:szCs w:val="22"/>
        </w:rPr>
        <w:t xml:space="preserve"> </w:t>
      </w:r>
      <w:r w:rsidR="007425BE">
        <w:rPr>
          <w:sz w:val="22"/>
          <w:szCs w:val="22"/>
        </w:rPr>
        <w:t xml:space="preserve">the </w:t>
      </w:r>
      <w:r w:rsidR="00F22E4B">
        <w:rPr>
          <w:sz w:val="22"/>
          <w:szCs w:val="22"/>
        </w:rPr>
        <w:t xml:space="preserve">sampling </w:t>
      </w:r>
      <w:r w:rsidR="006642F1">
        <w:rPr>
          <w:sz w:val="22"/>
          <w:szCs w:val="22"/>
        </w:rPr>
        <w:t xml:space="preserve">period. </w:t>
      </w:r>
      <w:r w:rsidR="00771D0A">
        <w:rPr>
          <w:sz w:val="22"/>
          <w:szCs w:val="22"/>
        </w:rPr>
        <w:t xml:space="preserve">Thus, </w:t>
      </w:r>
      <w:r w:rsidR="00F20392">
        <w:rPr>
          <w:sz w:val="22"/>
          <w:szCs w:val="22"/>
        </w:rPr>
        <w:t xml:space="preserve">very few of studies </w:t>
      </w:r>
      <w:r w:rsidR="00771D0A">
        <w:rPr>
          <w:sz w:val="22"/>
          <w:szCs w:val="22"/>
        </w:rPr>
        <w:t xml:space="preserve">the </w:t>
      </w:r>
      <w:r w:rsidR="005D0C41">
        <w:rPr>
          <w:sz w:val="22"/>
          <w:szCs w:val="22"/>
        </w:rPr>
        <w:t xml:space="preserve">effect of </w:t>
      </w:r>
      <w:r w:rsidR="000157C8">
        <w:rPr>
          <w:sz w:val="22"/>
          <w:szCs w:val="22"/>
        </w:rPr>
        <w:t>the bubble passage frequency</w:t>
      </w:r>
      <w:r w:rsidR="00893E4B">
        <w:rPr>
          <w:sz w:val="22"/>
          <w:szCs w:val="22"/>
        </w:rPr>
        <w:t xml:space="preserve"> in </w:t>
      </w:r>
      <w:r w:rsidR="001E03B8">
        <w:rPr>
          <w:sz w:val="22"/>
          <w:szCs w:val="22"/>
        </w:rPr>
        <w:t>r</w:t>
      </w:r>
      <w:r w:rsidR="0061055E">
        <w:rPr>
          <w:sz w:val="22"/>
          <w:szCs w:val="22"/>
        </w:rPr>
        <w:t xml:space="preserve">od bundles </w:t>
      </w:r>
      <w:r w:rsidR="004C2911">
        <w:rPr>
          <w:sz w:val="22"/>
          <w:szCs w:val="22"/>
        </w:rPr>
        <w:fldChar w:fldCharType="begin" w:fldLock="1"/>
      </w:r>
      <w:r w:rsidR="009D6DFA">
        <w:rPr>
          <w:sz w:val="22"/>
          <w:szCs w:val="22"/>
        </w:rPr>
        <w:instrText>ADDIN CSL_CITATION {"citationItems":[{"id":"ITEM-1","itemData":{"DOI":"10.1016/j.expthermflusci.2018.04.002","ISSN":"08941777","abstract":"In order to predict the thermal–hydraulic parameters in nuclear reactor accurately, it is essential to reveal the phase distribution characteristics, the mechanisms of phase interactions and the effects of the mixing vane spacer grid (MVSG) in rod bundles, based on which the drift-flux model and interfacial area transport equation could be developed further. The profiles of local two phase flow parameters could give an insight into these phenomena. Therefore, the adiabatic air–water upward two-phase flow experiments are performed to measure local parameters in 5 × 5 rod bundles with mixing vane spacer grids (MVSGs) under different bubbly flow conditions. The miniaturized four-sensor conductivity probe (MFSCP) has been developed to measure local two-phase flow parameters, such as void fraction, interfacial area concentration (IAC), bubble velocity and bubble chord length. The detail local parameters are measured and analyzed in the bubbly flow. Typical wall peaks for void fraction are identified and the bubble velocity profiles have a reverse phase position with void fraction profiles. The mixing vane spacer grid (MVSG) plays an important role in phase distribution in rod bundles: the skewed peaks of void fraction is associated with the direction of mixing vanes; a larger value of area-averaged void fraction is induced at the downstream of MVSG; compared with other factors, the MVSG plays a leading role in interfacial area transportation. Moreover, the dissipation length of MVSG is less than 19.4 L/D for current bubbly flow conditions.","author":[{"dropping-particle":"","family":"Ren","given":"Quan yao","non-dropping-particle":"","parse-names":false,"suffix":""},{"dropping-particle":"","family":"Pan","given":"Liang ming","non-dropping-particle":"","parse-names":false,"suffix":""},{"dropping-particle":"","family":"Zhou","given":"Wen xiong","non-dropping-particle":"","parse-names":false,"suffix":""},{"dropping-particle":"","family":"Du","given":"Si jia","non-dropping-particle":"","parse-names":false,"suffix":""},{"dropping-particle":"","family":"Li","given":"Zhong chun","non-dropping-particle":"","parse-names":false,"suffix":""}],"container-title":"Experimental Thermal and Fluid Science","id":"ITEM-1","issue":"April","issued":{"date-parts":[["2018"]]},"page":"451-459","publisher":"Elsevier","title":"Phase distribution characteristics of bubbly flow in 5 × 5 vertical rod bundles with mixing vane spacer grids","type":"article-journal","volume":"96"},"uris":["http://www.mendeley.com/documents/?uuid=7536ed72-8f8f-4f87-a57f-af16695faeb5"]},{"id":"ITEM-2","itemData":{"DOI":"10.1016/j.nucengdes.2010.02.004","ISSN":"00295493","abstract":"As a series of subcooling boiling flow tests, local two-phase flow parameters were obtained at SUBO (subcooled boiling) test facility under steam-water flow conditions. The test section is a vertical annulus of which the axial length is 4.165 m with a heater rod at the center of a channel. The inner and outer diameters of the test section and the heater rod are 35.5 mm and 9.98 mm, respectively. The test was performed by a two-stage approach. Stage-I for the measurement of local bubble parameters has been already done (Yun et al., 2009). The present work focused on the stage-II test for the measurement of local liquid parameters such as a local liquid velocity and a liquid temperature for a given flow condition of stage-I. A total of six test cases were chosen by following the test matrix of stage-I. The flow conditions are in the range of the heat flux of 370-563 kW/m2, mass flux of 1110-2100 kg/(m 2 s) and inlet subcooling of 19-31 °C at pressure condition of 0.15-0.2 MPa. From the test, local liquid parameters were measured at 6 elevations along the test section and 11 radial locations of each elevation in addition to the previously obtained local void fraction, interfacial area concentration, Sauter mean diameter and bubble velocity. The present subcooled boiling (SUBO) data completes a data set for use as a benchmark, validation and model development of the Computational Fluid Dynamics (CFD) codes or existing safety analysis codes. © 2010 Elsevier B.V. All rights reserved.","author":[{"dropping-particle":"","family":"Yun","given":"Byong Jo","non-dropping-particle":"","parse-names":false,"suffix":""},{"dropping-particle":"","family":"Bae","given":"Byoung Uhn","non-dropping-particle":"","parse-names":false,"suffix":""},{"dropping-particle":"","family":"Euh","given":"Dong Jin","non-dropping-particle":"","parse-names":false,"suffix":""},{"dropping-particle":"","family":"Song","given":"Chul Hwa","non-dropping-particle":"","parse-names":false,"suffix":""}],"container-title":"Nuclear Engineering and Design","id":"ITEM-2","issue":"12","issued":{"date-parts":[["2010"]]},"page":"3956-3966","title":"Experimental investigation of local two-phase flow parameters of a subcooled boiling flow in an annulus","type":"article-journal","volume":"240"},"uris":["http://www.mendeley.com/documents/?uuid=f2660413-18e8-4275-8840-1de96a3183bd"]}],"mendeley":{"formattedCitation":"[24], [25]","plainTextFormattedCitation":"[24], [25]","previouslyFormattedCitation":"[23], [24]"},"properties":{"noteIndex":0},"schema":"https://github.com/citation-style-language/schema/raw/master/csl-citation.json"}</w:instrText>
      </w:r>
      <w:r w:rsidR="004C2911">
        <w:rPr>
          <w:sz w:val="22"/>
          <w:szCs w:val="22"/>
        </w:rPr>
        <w:fldChar w:fldCharType="separate"/>
      </w:r>
      <w:r w:rsidR="009D6DFA" w:rsidRPr="009D6DFA">
        <w:rPr>
          <w:noProof/>
          <w:sz w:val="22"/>
          <w:szCs w:val="22"/>
        </w:rPr>
        <w:t>[24], [25]</w:t>
      </w:r>
      <w:r w:rsidR="004C2911">
        <w:rPr>
          <w:sz w:val="22"/>
          <w:szCs w:val="22"/>
        </w:rPr>
        <w:fldChar w:fldCharType="end"/>
      </w:r>
      <w:r w:rsidR="00324B37">
        <w:rPr>
          <w:sz w:val="22"/>
          <w:szCs w:val="22"/>
        </w:rPr>
        <w:t xml:space="preserve">. </w:t>
      </w:r>
      <w:r w:rsidR="005D0C41">
        <w:rPr>
          <w:sz w:val="22"/>
          <w:szCs w:val="22"/>
        </w:rPr>
        <w:t xml:space="preserve">However, Fig 5 (b) </w:t>
      </w:r>
      <w:r w:rsidR="007A17AC">
        <w:rPr>
          <w:sz w:val="22"/>
          <w:szCs w:val="22"/>
        </w:rPr>
        <w:t>shows the</w:t>
      </w:r>
      <w:r w:rsidR="00DD575C">
        <w:rPr>
          <w:sz w:val="22"/>
          <w:szCs w:val="22"/>
        </w:rPr>
        <w:t xml:space="preserve"> local</w:t>
      </w:r>
      <w:r w:rsidR="007A17AC">
        <w:rPr>
          <w:sz w:val="22"/>
          <w:szCs w:val="22"/>
        </w:rPr>
        <w:t xml:space="preserve"> bubble passage frequency radial </w:t>
      </w:r>
      <w:r w:rsidR="00DD575C">
        <w:rPr>
          <w:sz w:val="22"/>
          <w:szCs w:val="22"/>
        </w:rPr>
        <w:t xml:space="preserve">profile for </w:t>
      </w:r>
      <w:r w:rsidR="002A4735">
        <w:rPr>
          <w:sz w:val="22"/>
          <w:szCs w:val="22"/>
        </w:rPr>
        <w:t xml:space="preserve">vary flow </w:t>
      </w:r>
      <w:r w:rsidR="006A1210">
        <w:rPr>
          <w:sz w:val="22"/>
          <w:szCs w:val="22"/>
        </w:rPr>
        <w:t>conditions</w:t>
      </w:r>
      <w:r w:rsidR="00922049">
        <w:rPr>
          <w:sz w:val="22"/>
          <w:szCs w:val="22"/>
        </w:rPr>
        <w:t xml:space="preserve">. </w:t>
      </w:r>
      <w:r w:rsidR="00C66A5D">
        <w:rPr>
          <w:sz w:val="22"/>
          <w:szCs w:val="22"/>
        </w:rPr>
        <w:t>Also</w:t>
      </w:r>
      <w:r w:rsidR="00C05A51">
        <w:rPr>
          <w:sz w:val="22"/>
          <w:szCs w:val="22"/>
        </w:rPr>
        <w:t>, b</w:t>
      </w:r>
      <w:r w:rsidR="00922049">
        <w:rPr>
          <w:sz w:val="22"/>
          <w:szCs w:val="22"/>
        </w:rPr>
        <w:t>ubble passage frequency</w:t>
      </w:r>
      <w:r w:rsidR="00C05A51">
        <w:rPr>
          <w:sz w:val="22"/>
          <w:szCs w:val="22"/>
        </w:rPr>
        <w:t xml:space="preserve"> confirms</w:t>
      </w:r>
      <w:r w:rsidR="00C66A5D">
        <w:rPr>
          <w:sz w:val="22"/>
          <w:szCs w:val="22"/>
        </w:rPr>
        <w:t xml:space="preserve"> the void fraction</w:t>
      </w:r>
      <w:r w:rsidR="00922049">
        <w:rPr>
          <w:sz w:val="22"/>
          <w:szCs w:val="22"/>
        </w:rPr>
        <w:t xml:space="preserve"> </w:t>
      </w:r>
      <w:r w:rsidR="00C66A5D">
        <w:rPr>
          <w:sz w:val="22"/>
          <w:szCs w:val="22"/>
        </w:rPr>
        <w:t>behavior</w:t>
      </w:r>
      <w:r w:rsidR="00C05A51">
        <w:rPr>
          <w:sz w:val="22"/>
          <w:szCs w:val="22"/>
        </w:rPr>
        <w:t xml:space="preserve"> as noted in Fig 5 (a) and (b)</w:t>
      </w:r>
      <w:r w:rsidR="006A1210">
        <w:rPr>
          <w:sz w:val="22"/>
          <w:szCs w:val="22"/>
        </w:rPr>
        <w:t>.</w:t>
      </w:r>
      <w:r w:rsidR="00576316">
        <w:rPr>
          <w:sz w:val="22"/>
          <w:szCs w:val="22"/>
        </w:rPr>
        <w:t xml:space="preserve"> </w:t>
      </w:r>
      <w:r w:rsidR="00A56710">
        <w:rPr>
          <w:sz w:val="22"/>
          <w:szCs w:val="22"/>
        </w:rPr>
        <w:t>Ren</w:t>
      </w:r>
      <w:r w:rsidR="00576316">
        <w:rPr>
          <w:sz w:val="22"/>
          <w:szCs w:val="22"/>
        </w:rPr>
        <w:t xml:space="preserve"> et al.</w:t>
      </w:r>
      <w:r w:rsidR="00573D14">
        <w:rPr>
          <w:sz w:val="22"/>
          <w:szCs w:val="22"/>
        </w:rPr>
        <w:t xml:space="preserve">, </w:t>
      </w:r>
      <w:r w:rsidR="008F76FE">
        <w:rPr>
          <w:sz w:val="22"/>
          <w:szCs w:val="22"/>
        </w:rPr>
        <w:t>(</w:t>
      </w:r>
      <w:r w:rsidR="00573D14">
        <w:rPr>
          <w:sz w:val="22"/>
          <w:szCs w:val="22"/>
        </w:rPr>
        <w:t>2018</w:t>
      </w:r>
      <w:r w:rsidR="008F76FE">
        <w:rPr>
          <w:sz w:val="22"/>
          <w:szCs w:val="22"/>
        </w:rPr>
        <w:t>)</w:t>
      </w:r>
      <w:r w:rsidR="00A56B6B">
        <w:rPr>
          <w:sz w:val="22"/>
          <w:szCs w:val="22"/>
        </w:rPr>
        <w:t xml:space="preserve"> reported that the bubble passage frequency impacted by multiple factors such as void fraction, bubble size, bubble velocity</w:t>
      </w:r>
      <w:r w:rsidR="0088572C">
        <w:rPr>
          <w:sz w:val="22"/>
          <w:szCs w:val="22"/>
        </w:rPr>
        <w:t xml:space="preserve"> </w:t>
      </w:r>
      <w:r w:rsidR="0088572C">
        <w:rPr>
          <w:sz w:val="22"/>
          <w:szCs w:val="22"/>
        </w:rPr>
        <w:fldChar w:fldCharType="begin" w:fldLock="1"/>
      </w:r>
      <w:r w:rsidR="009D6DFA">
        <w:rPr>
          <w:sz w:val="22"/>
          <w:szCs w:val="22"/>
        </w:rPr>
        <w:instrText>ADDIN CSL_CITATION {"citationItems":[{"id":"ITEM-1","itemData":{"DOI":"10.1016/j.expthermflusci.2018.04.002","ISSN":"08941777","abstract":"In order to predict the thermal–hydraulic parameters in nuclear reactor accurately, it is essential to reveal the phase distribution characteristics, the mechanisms of phase interactions and the effects of the mixing vane spacer grid (MVSG) in rod bundles, based on which the drift-flux model and interfacial area transport equation could be developed further. The profiles of local two phase flow parameters could give an insight into these phenomena. Therefore, the adiabatic air–water upward two-phase flow experiments are performed to measure local parameters in 5 × 5 rod bundles with mixing vane spacer grids (MVSGs) under different bubbly flow conditions. The miniaturized four-sensor conductivity probe (MFSCP) has been developed to measure local two-phase flow parameters, such as void fraction, interfacial area concentration (IAC), bubble velocity and bubble chord length. The detail local parameters are measured and analyzed in the bubbly flow. Typical wall peaks for void fraction are identified and the bubble velocity profiles have a reverse phase position with void fraction profiles. The mixing vane spacer grid (MVSG) plays an important role in phase distribution in rod bundles: the skewed peaks of void fraction is associated with the direction of mixing vanes; a larger value of area-averaged void fraction is induced at the downstream of MVSG; compared with other factors, the MVSG plays a leading role in interfacial area transportation. Moreover, the dissipation length of MVSG is less than 19.4 L/D for current bubbly flow conditions.","author":[{"dropping-particle":"","family":"Ren","given":"Quan yao","non-dropping-particle":"","parse-names":false,"suffix":""},{"dropping-particle":"","family":"Pan","given":"Liang ming","non-dropping-particle":"","parse-names":false,"suffix":""},{"dropping-particle":"","family":"Zhou","given":"Wen xiong","non-dropping-particle":"","parse-names":false,"suffix":""},{"dropping-particle":"","family":"Du","given":"Si jia","non-dropping-particle":"","parse-names":false,"suffix":""},{"dropping-particle":"","family":"Li","given":"Zhong chun","non-dropping-particle":"","parse-names":false,"suffix":""}],"container-title":"Experimental Thermal and Fluid Science","id":"ITEM-1","issue":"April","issued":{"date-parts":[["2018"]]},"page":"451-459","publisher":"Elsevier","title":"Phase distribution characteristics of bubbly flow in 5 × 5 vertical rod bundles with mixing vane spacer grids","type":"article-journal","volume":"96"},"uris":["http://www.mendeley.com/documents/?uuid=7536ed72-8f8f-4f87-a57f-af16695faeb5"]}],"mendeley":{"formattedCitation":"[24]","plainTextFormattedCitation":"[24]","previouslyFormattedCitation":"[23]"},"properties":{"noteIndex":0},"schema":"https://github.com/citation-style-language/schema/raw/master/csl-citation.json"}</w:instrText>
      </w:r>
      <w:r w:rsidR="0088572C">
        <w:rPr>
          <w:sz w:val="22"/>
          <w:szCs w:val="22"/>
        </w:rPr>
        <w:fldChar w:fldCharType="separate"/>
      </w:r>
      <w:r w:rsidR="009D6DFA" w:rsidRPr="009D6DFA">
        <w:rPr>
          <w:noProof/>
          <w:sz w:val="22"/>
          <w:szCs w:val="22"/>
        </w:rPr>
        <w:t>[24]</w:t>
      </w:r>
      <w:r w:rsidR="0088572C">
        <w:rPr>
          <w:sz w:val="22"/>
          <w:szCs w:val="22"/>
        </w:rPr>
        <w:fldChar w:fldCharType="end"/>
      </w:r>
      <w:r w:rsidR="00A56B6B">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tblGrid>
      <w:tr w:rsidR="00D2652E" w14:paraId="7AF26E77" w14:textId="77777777" w:rsidTr="00DC7E33">
        <w:tc>
          <w:tcPr>
            <w:tcW w:w="4760" w:type="dxa"/>
          </w:tcPr>
          <w:p w14:paraId="53ABA554" w14:textId="52CBFC94" w:rsidR="00D2652E" w:rsidRDefault="00DC7E33" w:rsidP="00DC7E33">
            <w:pPr>
              <w:pStyle w:val="BodyTextIndent"/>
              <w:ind w:firstLine="0"/>
              <w:jc w:val="center"/>
              <w:rPr>
                <w:sz w:val="22"/>
                <w:szCs w:val="22"/>
              </w:rPr>
            </w:pPr>
            <w:r>
              <w:rPr>
                <w:sz w:val="22"/>
                <w:szCs w:val="22"/>
              </w:rPr>
              <w:t>(a)</w:t>
            </w:r>
          </w:p>
        </w:tc>
      </w:tr>
      <w:tr w:rsidR="00DC7E33" w14:paraId="18AF6680" w14:textId="77777777" w:rsidTr="00DC7E33">
        <w:tc>
          <w:tcPr>
            <w:tcW w:w="4760" w:type="dxa"/>
          </w:tcPr>
          <w:p w14:paraId="2FB04763" w14:textId="1BFC058F" w:rsidR="00DC7E33" w:rsidRDefault="00DC7E33" w:rsidP="00F7098D">
            <w:pPr>
              <w:pStyle w:val="BodyTextIndent"/>
              <w:ind w:firstLine="0"/>
              <w:rPr>
                <w:sz w:val="22"/>
                <w:szCs w:val="22"/>
              </w:rPr>
            </w:pPr>
            <w:r w:rsidRPr="00941381">
              <w:rPr>
                <w:noProof/>
                <w:sz w:val="22"/>
                <w:szCs w:val="22"/>
              </w:rPr>
              <w:drawing>
                <wp:inline distT="0" distB="0" distL="0" distR="0" wp14:anchorId="2E6DF63F" wp14:editId="4B8CAAAC">
                  <wp:extent cx="2901483" cy="1542422"/>
                  <wp:effectExtent l="0" t="0" r="0" b="635"/>
                  <wp:docPr id="1079090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9330" cy="1546594"/>
                          </a:xfrm>
                          <a:prstGeom prst="rect">
                            <a:avLst/>
                          </a:prstGeom>
                          <a:noFill/>
                          <a:ln>
                            <a:noFill/>
                          </a:ln>
                        </pic:spPr>
                      </pic:pic>
                    </a:graphicData>
                  </a:graphic>
                </wp:inline>
              </w:drawing>
            </w:r>
          </w:p>
        </w:tc>
      </w:tr>
      <w:tr w:rsidR="00DC7E33" w14:paraId="61A915BC" w14:textId="77777777" w:rsidTr="00DC7E33">
        <w:tc>
          <w:tcPr>
            <w:tcW w:w="4760" w:type="dxa"/>
          </w:tcPr>
          <w:p w14:paraId="4DB98827" w14:textId="0EC2AFD1" w:rsidR="00DC7E33" w:rsidRDefault="00DC7E33" w:rsidP="007110D1">
            <w:pPr>
              <w:pStyle w:val="BodyTextIndent"/>
              <w:ind w:firstLine="0"/>
              <w:jc w:val="center"/>
              <w:rPr>
                <w:sz w:val="22"/>
                <w:szCs w:val="22"/>
              </w:rPr>
            </w:pPr>
            <w:r>
              <w:rPr>
                <w:sz w:val="22"/>
                <w:szCs w:val="22"/>
              </w:rPr>
              <w:t>(b)</w:t>
            </w:r>
          </w:p>
        </w:tc>
      </w:tr>
      <w:tr w:rsidR="00D2652E" w14:paraId="5C7B0A74" w14:textId="77777777" w:rsidTr="00DC7E33">
        <w:tc>
          <w:tcPr>
            <w:tcW w:w="4760" w:type="dxa"/>
          </w:tcPr>
          <w:p w14:paraId="5C26EDBB" w14:textId="7D0573B9" w:rsidR="00D2652E" w:rsidRDefault="006F7054" w:rsidP="00F7098D">
            <w:pPr>
              <w:pStyle w:val="BodyTextIndent"/>
              <w:ind w:firstLine="0"/>
              <w:rPr>
                <w:sz w:val="22"/>
                <w:szCs w:val="22"/>
              </w:rPr>
            </w:pPr>
            <w:r w:rsidRPr="006F7054">
              <w:rPr>
                <w:noProof/>
                <w:sz w:val="22"/>
                <w:szCs w:val="22"/>
              </w:rPr>
              <w:drawing>
                <wp:inline distT="0" distB="0" distL="0" distR="0" wp14:anchorId="2009CE06" wp14:editId="4B8AE316">
                  <wp:extent cx="2898648" cy="1545336"/>
                  <wp:effectExtent l="0" t="0" r="0" b="0"/>
                  <wp:docPr id="109932641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8648" cy="1545336"/>
                          </a:xfrm>
                          <a:prstGeom prst="rect">
                            <a:avLst/>
                          </a:prstGeom>
                          <a:noFill/>
                          <a:ln>
                            <a:noFill/>
                          </a:ln>
                        </pic:spPr>
                      </pic:pic>
                    </a:graphicData>
                  </a:graphic>
                </wp:inline>
              </w:drawing>
            </w:r>
          </w:p>
        </w:tc>
      </w:tr>
      <w:tr w:rsidR="00D2652E" w14:paraId="5EAFAC88" w14:textId="77777777" w:rsidTr="00DC7E33">
        <w:tc>
          <w:tcPr>
            <w:tcW w:w="4760" w:type="dxa"/>
          </w:tcPr>
          <w:p w14:paraId="774CF714" w14:textId="6A70C8FD" w:rsidR="00D2652E" w:rsidRPr="003C04DE" w:rsidRDefault="00DC7E33" w:rsidP="006F7054">
            <w:pPr>
              <w:pStyle w:val="BodyTextIndent"/>
              <w:ind w:firstLine="0"/>
              <w:jc w:val="center"/>
              <w:rPr>
                <w:rFonts w:asciiTheme="majorBidi" w:hAnsiTheme="majorBidi" w:cstheme="majorBidi"/>
                <w:sz w:val="22"/>
                <w:szCs w:val="22"/>
              </w:rPr>
            </w:pPr>
            <w:r w:rsidRPr="003C04DE">
              <w:rPr>
                <w:rFonts w:asciiTheme="majorBidi" w:hAnsiTheme="majorBidi" w:cstheme="majorBidi"/>
                <w:sz w:val="22"/>
                <w:szCs w:val="22"/>
              </w:rPr>
              <w:lastRenderedPageBreak/>
              <w:t>(c)</w:t>
            </w:r>
          </w:p>
        </w:tc>
      </w:tr>
      <w:tr w:rsidR="00D2652E" w14:paraId="42DA7D4D" w14:textId="77777777" w:rsidTr="00DC7E33">
        <w:tc>
          <w:tcPr>
            <w:tcW w:w="4760" w:type="dxa"/>
          </w:tcPr>
          <w:p w14:paraId="147AB766" w14:textId="54B2A4E5" w:rsidR="00D2652E" w:rsidRDefault="00EA31AF" w:rsidP="00F7098D">
            <w:pPr>
              <w:pStyle w:val="BodyTextIndent"/>
              <w:ind w:firstLine="0"/>
              <w:rPr>
                <w:sz w:val="22"/>
                <w:szCs w:val="22"/>
              </w:rPr>
            </w:pPr>
            <w:r w:rsidRPr="00EA31AF">
              <w:rPr>
                <w:noProof/>
                <w:sz w:val="22"/>
                <w:szCs w:val="22"/>
              </w:rPr>
              <w:drawing>
                <wp:inline distT="0" distB="0" distL="0" distR="0" wp14:anchorId="24443A95" wp14:editId="09DA95B7">
                  <wp:extent cx="2898648" cy="1545336"/>
                  <wp:effectExtent l="0" t="0" r="0" b="0"/>
                  <wp:docPr id="82464692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8648" cy="1545336"/>
                          </a:xfrm>
                          <a:prstGeom prst="rect">
                            <a:avLst/>
                          </a:prstGeom>
                          <a:noFill/>
                          <a:ln>
                            <a:noFill/>
                          </a:ln>
                        </pic:spPr>
                      </pic:pic>
                    </a:graphicData>
                  </a:graphic>
                </wp:inline>
              </w:drawing>
            </w:r>
          </w:p>
        </w:tc>
      </w:tr>
      <w:tr w:rsidR="00DC7E33" w14:paraId="500B4ECD" w14:textId="77777777" w:rsidTr="00DC7E33">
        <w:tc>
          <w:tcPr>
            <w:tcW w:w="4760" w:type="dxa"/>
          </w:tcPr>
          <w:p w14:paraId="3C4577A2" w14:textId="7E0DADBB" w:rsidR="00DC7E33" w:rsidRDefault="00DC7E33" w:rsidP="00EA31AF">
            <w:pPr>
              <w:pStyle w:val="BodyTextIndent"/>
              <w:ind w:firstLine="0"/>
              <w:jc w:val="center"/>
              <w:rPr>
                <w:sz w:val="22"/>
                <w:szCs w:val="22"/>
              </w:rPr>
            </w:pPr>
            <w:r>
              <w:rPr>
                <w:sz w:val="22"/>
                <w:szCs w:val="22"/>
              </w:rPr>
              <w:t>(d)</w:t>
            </w:r>
          </w:p>
        </w:tc>
      </w:tr>
      <w:tr w:rsidR="00EA31AF" w14:paraId="2FC7B46E" w14:textId="77777777" w:rsidTr="00DC7E33">
        <w:tc>
          <w:tcPr>
            <w:tcW w:w="4760" w:type="dxa"/>
          </w:tcPr>
          <w:p w14:paraId="3248D95E" w14:textId="60DB2AC6" w:rsidR="00EA31AF" w:rsidRDefault="004F1E0E" w:rsidP="00EA31AF">
            <w:pPr>
              <w:pStyle w:val="BodyTextIndent"/>
              <w:ind w:firstLine="0"/>
              <w:jc w:val="center"/>
              <w:rPr>
                <w:sz w:val="22"/>
                <w:szCs w:val="22"/>
              </w:rPr>
            </w:pPr>
            <w:r w:rsidRPr="004F1E0E">
              <w:rPr>
                <w:noProof/>
                <w:sz w:val="22"/>
                <w:szCs w:val="22"/>
              </w:rPr>
              <w:drawing>
                <wp:inline distT="0" distB="0" distL="0" distR="0" wp14:anchorId="7DC2EDDE" wp14:editId="2290D4F6">
                  <wp:extent cx="2898648" cy="1545336"/>
                  <wp:effectExtent l="0" t="0" r="0" b="0"/>
                  <wp:docPr id="54875950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8648" cy="1545336"/>
                          </a:xfrm>
                          <a:prstGeom prst="rect">
                            <a:avLst/>
                          </a:prstGeom>
                          <a:noFill/>
                          <a:ln>
                            <a:noFill/>
                          </a:ln>
                        </pic:spPr>
                      </pic:pic>
                    </a:graphicData>
                  </a:graphic>
                </wp:inline>
              </w:drawing>
            </w:r>
          </w:p>
        </w:tc>
      </w:tr>
      <w:tr w:rsidR="00EA31AF" w14:paraId="569DD712" w14:textId="77777777" w:rsidTr="00DC7E33">
        <w:tc>
          <w:tcPr>
            <w:tcW w:w="4760" w:type="dxa"/>
          </w:tcPr>
          <w:p w14:paraId="29F928C5" w14:textId="6D4086DB" w:rsidR="00EA31AF" w:rsidRDefault="00DC7E33" w:rsidP="00EA31AF">
            <w:pPr>
              <w:pStyle w:val="BodyTextIndent"/>
              <w:ind w:firstLine="0"/>
              <w:jc w:val="center"/>
              <w:rPr>
                <w:sz w:val="22"/>
                <w:szCs w:val="22"/>
              </w:rPr>
            </w:pPr>
            <w:r>
              <w:rPr>
                <w:sz w:val="22"/>
                <w:szCs w:val="22"/>
              </w:rPr>
              <w:t>(e)</w:t>
            </w:r>
          </w:p>
        </w:tc>
      </w:tr>
      <w:tr w:rsidR="00EA31AF" w14:paraId="5CC6FB24" w14:textId="77777777" w:rsidTr="00DC7E33">
        <w:tc>
          <w:tcPr>
            <w:tcW w:w="4760" w:type="dxa"/>
          </w:tcPr>
          <w:p w14:paraId="25E4FCE7" w14:textId="175A61CA" w:rsidR="00EA31AF" w:rsidRDefault="008F3703" w:rsidP="00EA31AF">
            <w:pPr>
              <w:pStyle w:val="BodyTextIndent"/>
              <w:ind w:firstLine="0"/>
              <w:jc w:val="center"/>
              <w:rPr>
                <w:sz w:val="22"/>
                <w:szCs w:val="22"/>
              </w:rPr>
            </w:pPr>
            <w:r w:rsidRPr="008F3703">
              <w:rPr>
                <w:noProof/>
                <w:sz w:val="22"/>
                <w:szCs w:val="22"/>
              </w:rPr>
              <w:drawing>
                <wp:inline distT="0" distB="0" distL="0" distR="0" wp14:anchorId="001907DE" wp14:editId="0B59927F">
                  <wp:extent cx="2898648" cy="1545336"/>
                  <wp:effectExtent l="0" t="0" r="0" b="0"/>
                  <wp:docPr id="1739248487"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8648" cy="1545336"/>
                          </a:xfrm>
                          <a:prstGeom prst="rect">
                            <a:avLst/>
                          </a:prstGeom>
                          <a:noFill/>
                          <a:ln>
                            <a:noFill/>
                          </a:ln>
                        </pic:spPr>
                      </pic:pic>
                    </a:graphicData>
                  </a:graphic>
                </wp:inline>
              </w:drawing>
            </w:r>
          </w:p>
        </w:tc>
      </w:tr>
      <w:tr w:rsidR="00490CA0" w14:paraId="20057E2F" w14:textId="77777777" w:rsidTr="00DC7E33">
        <w:tc>
          <w:tcPr>
            <w:tcW w:w="4760" w:type="dxa"/>
          </w:tcPr>
          <w:p w14:paraId="5BEFF7E2" w14:textId="0EF2068F" w:rsidR="00490CA0" w:rsidRPr="001C459B" w:rsidRDefault="00490CA0" w:rsidP="008E18D7">
            <w:pPr>
              <w:pStyle w:val="Caption"/>
              <w:jc w:val="center"/>
              <w:rPr>
                <w:b w:val="0"/>
                <w:bCs/>
                <w:i/>
                <w:iCs/>
              </w:rPr>
            </w:pPr>
            <w:r w:rsidRPr="00401092">
              <w:rPr>
                <w:b w:val="0"/>
                <w:bCs/>
                <w:i/>
                <w:iCs/>
              </w:rPr>
              <w:t xml:space="preserve">Figure 5. </w:t>
            </w:r>
            <w:r w:rsidRPr="001C6334">
              <w:rPr>
                <w:b w:val="0"/>
                <w:bCs/>
                <w:i/>
                <w:iCs/>
              </w:rPr>
              <w:t xml:space="preserve">Radial local parameters </w:t>
            </w:r>
            <w:r w:rsidR="00743CE8">
              <w:rPr>
                <w:b w:val="0"/>
                <w:bCs/>
                <w:i/>
                <w:iCs/>
              </w:rPr>
              <w:t>at</w:t>
            </w:r>
            <w:r w:rsidRPr="001C6334">
              <w:rPr>
                <w:b w:val="0"/>
                <w:bCs/>
                <w:i/>
                <w:iCs/>
              </w:rPr>
              <w:t xml:space="preserve"> </w:t>
            </w:r>
            <w:r w:rsidR="00743CE8" w:rsidRPr="00554974">
              <w:rPr>
                <w:rFonts w:asciiTheme="majorHAnsi" w:hAnsiTheme="majorHAnsi"/>
                <w:b w:val="0"/>
                <w:bCs/>
                <w:i/>
                <w:iCs/>
              </w:rPr>
              <w:t>z/D</w:t>
            </w:r>
            <w:r w:rsidR="00743CE8" w:rsidRPr="00554974">
              <w:rPr>
                <w:rFonts w:asciiTheme="majorHAnsi" w:hAnsiTheme="majorHAnsi"/>
                <w:b w:val="0"/>
                <w:bCs/>
                <w:i/>
                <w:iCs/>
                <w:vertAlign w:val="subscript"/>
              </w:rPr>
              <w:t>H</w:t>
            </w:r>
            <w:r w:rsidR="00743CE8">
              <w:rPr>
                <w:b w:val="0"/>
                <w:bCs/>
                <w:i/>
                <w:iCs/>
              </w:rPr>
              <w:t>=</w:t>
            </w:r>
            <w:r w:rsidR="001C459B">
              <w:rPr>
                <w:b w:val="0"/>
                <w:bCs/>
                <w:i/>
                <w:iCs/>
              </w:rPr>
              <w:t>67.6</w:t>
            </w:r>
          </w:p>
        </w:tc>
      </w:tr>
    </w:tbl>
    <w:p w14:paraId="2586E476" w14:textId="77777777" w:rsidR="00D2652E" w:rsidRDefault="00D2652E" w:rsidP="00F7098D">
      <w:pPr>
        <w:pStyle w:val="BodyTextIndent"/>
        <w:rPr>
          <w:sz w:val="22"/>
          <w:szCs w:val="22"/>
        </w:rPr>
      </w:pPr>
    </w:p>
    <w:p w14:paraId="421B9F79" w14:textId="3DFDCD01" w:rsidR="0013701F" w:rsidRDefault="008A34E6" w:rsidP="0013701F">
      <w:pPr>
        <w:pStyle w:val="BodyTextIndent"/>
        <w:rPr>
          <w:sz w:val="22"/>
          <w:szCs w:val="22"/>
        </w:rPr>
      </w:pPr>
      <w:r>
        <w:rPr>
          <w:sz w:val="22"/>
          <w:szCs w:val="22"/>
        </w:rPr>
        <w:t xml:space="preserve">Interfacial area concentration is described as the total surface area for all interfaces divided by the total </w:t>
      </w:r>
      <w:r w:rsidR="00DC04BE">
        <w:rPr>
          <w:sz w:val="22"/>
          <w:szCs w:val="22"/>
        </w:rPr>
        <w:t>volume of the two-phase mixture. Measured local interfacial area concentration radial profile of the 5x5 rod assembly cross section during low, high flow conditions (</w:t>
      </w:r>
      <w:r w:rsidR="00DC04BE" w:rsidRPr="00BC4314">
        <w:rPr>
          <w:rFonts w:asciiTheme="majorHAnsi" w:hAnsiTheme="majorHAnsi"/>
          <w:i/>
          <w:iCs/>
          <w:sz w:val="22"/>
          <w:szCs w:val="22"/>
        </w:rPr>
        <w:t>J</w:t>
      </w:r>
      <w:r w:rsidR="00DC04BE" w:rsidRPr="00BC4314">
        <w:rPr>
          <w:rFonts w:asciiTheme="majorHAnsi" w:hAnsiTheme="majorHAnsi"/>
          <w:i/>
          <w:iCs/>
          <w:sz w:val="22"/>
          <w:szCs w:val="22"/>
          <w:vertAlign w:val="subscript"/>
        </w:rPr>
        <w:t>f</w:t>
      </w:r>
      <w:r w:rsidR="00F9665C">
        <w:rPr>
          <w:rFonts w:asciiTheme="majorHAnsi" w:hAnsiTheme="majorHAnsi"/>
          <w:i/>
          <w:iCs/>
          <w:sz w:val="22"/>
          <w:szCs w:val="22"/>
        </w:rPr>
        <w:t xml:space="preserve"> </w:t>
      </w:r>
      <w:r w:rsidR="00DC04BE">
        <w:rPr>
          <w:sz w:val="22"/>
          <w:szCs w:val="22"/>
        </w:rPr>
        <w:t>=</w:t>
      </w:r>
      <w:r w:rsidR="00F9665C">
        <w:rPr>
          <w:sz w:val="22"/>
          <w:szCs w:val="22"/>
        </w:rPr>
        <w:t xml:space="preserve"> </w:t>
      </w:r>
      <w:r w:rsidR="00DC04BE">
        <w:rPr>
          <w:sz w:val="22"/>
          <w:szCs w:val="22"/>
        </w:rPr>
        <w:t xml:space="preserve">0.3 m/s, </w:t>
      </w:r>
      <w:r w:rsidR="00DC04BE" w:rsidRPr="00BC4314">
        <w:rPr>
          <w:rFonts w:asciiTheme="majorHAnsi" w:hAnsiTheme="majorHAnsi"/>
          <w:i/>
          <w:iCs/>
          <w:sz w:val="22"/>
          <w:szCs w:val="22"/>
        </w:rPr>
        <w:t>J</w:t>
      </w:r>
      <w:r w:rsidR="00DC04BE" w:rsidRPr="00BC4314">
        <w:rPr>
          <w:rFonts w:asciiTheme="majorHAnsi" w:hAnsiTheme="majorHAnsi"/>
          <w:i/>
          <w:iCs/>
          <w:sz w:val="22"/>
          <w:szCs w:val="22"/>
          <w:vertAlign w:val="subscript"/>
        </w:rPr>
        <w:t>g</w:t>
      </w:r>
      <w:r w:rsidR="00F9665C">
        <w:rPr>
          <w:rFonts w:asciiTheme="majorHAnsi" w:hAnsiTheme="majorHAnsi"/>
          <w:i/>
          <w:iCs/>
          <w:sz w:val="22"/>
          <w:szCs w:val="22"/>
        </w:rPr>
        <w:t xml:space="preserve"> </w:t>
      </w:r>
      <w:r w:rsidR="00DC04BE">
        <w:rPr>
          <w:sz w:val="22"/>
          <w:szCs w:val="22"/>
        </w:rPr>
        <w:t>=</w:t>
      </w:r>
      <w:r w:rsidR="00F9665C">
        <w:rPr>
          <w:sz w:val="22"/>
          <w:szCs w:val="22"/>
        </w:rPr>
        <w:t xml:space="preserve"> </w:t>
      </w:r>
      <w:r w:rsidR="00DC04BE">
        <w:rPr>
          <w:sz w:val="22"/>
          <w:szCs w:val="22"/>
        </w:rPr>
        <w:t xml:space="preserve">0.124 m/s; </w:t>
      </w:r>
      <w:r w:rsidR="00DC04BE" w:rsidRPr="00BC4314">
        <w:rPr>
          <w:rFonts w:asciiTheme="majorHAnsi" w:hAnsiTheme="majorHAnsi"/>
          <w:i/>
          <w:iCs/>
          <w:sz w:val="22"/>
          <w:szCs w:val="22"/>
        </w:rPr>
        <w:t>J</w:t>
      </w:r>
      <w:r w:rsidR="00DC04BE" w:rsidRPr="00BC4314">
        <w:rPr>
          <w:rFonts w:asciiTheme="majorHAnsi" w:hAnsiTheme="majorHAnsi"/>
          <w:i/>
          <w:iCs/>
          <w:sz w:val="22"/>
          <w:szCs w:val="22"/>
          <w:vertAlign w:val="subscript"/>
        </w:rPr>
        <w:t>f</w:t>
      </w:r>
      <w:r w:rsidR="00F9665C">
        <w:rPr>
          <w:rFonts w:asciiTheme="majorHAnsi" w:hAnsiTheme="majorHAnsi"/>
          <w:i/>
          <w:iCs/>
          <w:sz w:val="22"/>
          <w:szCs w:val="22"/>
        </w:rPr>
        <w:t xml:space="preserve"> </w:t>
      </w:r>
      <w:r w:rsidR="00DC04BE">
        <w:rPr>
          <w:sz w:val="22"/>
          <w:szCs w:val="22"/>
        </w:rPr>
        <w:t>=</w:t>
      </w:r>
      <w:r w:rsidR="00F9665C">
        <w:rPr>
          <w:sz w:val="22"/>
          <w:szCs w:val="22"/>
        </w:rPr>
        <w:t xml:space="preserve"> </w:t>
      </w:r>
      <w:r w:rsidR="00DC04BE">
        <w:rPr>
          <w:sz w:val="22"/>
          <w:szCs w:val="22"/>
        </w:rPr>
        <w:t xml:space="preserve">1.0 m/s, </w:t>
      </w:r>
      <w:r w:rsidR="00DC04BE" w:rsidRPr="00BC4314">
        <w:rPr>
          <w:rFonts w:asciiTheme="majorHAnsi" w:hAnsiTheme="majorHAnsi"/>
          <w:i/>
          <w:iCs/>
          <w:sz w:val="22"/>
          <w:szCs w:val="22"/>
        </w:rPr>
        <w:t>J</w:t>
      </w:r>
      <w:r w:rsidR="00DC04BE" w:rsidRPr="00BC4314">
        <w:rPr>
          <w:rFonts w:asciiTheme="majorHAnsi" w:hAnsiTheme="majorHAnsi"/>
          <w:i/>
          <w:iCs/>
          <w:sz w:val="22"/>
          <w:szCs w:val="22"/>
          <w:vertAlign w:val="subscript"/>
        </w:rPr>
        <w:t>g</w:t>
      </w:r>
      <w:r w:rsidR="00F9665C">
        <w:rPr>
          <w:rFonts w:asciiTheme="majorHAnsi" w:hAnsiTheme="majorHAnsi"/>
          <w:i/>
          <w:iCs/>
          <w:sz w:val="22"/>
          <w:szCs w:val="22"/>
        </w:rPr>
        <w:t xml:space="preserve"> </w:t>
      </w:r>
      <w:r w:rsidR="00DC04BE">
        <w:rPr>
          <w:sz w:val="22"/>
          <w:szCs w:val="22"/>
        </w:rPr>
        <w:t>=</w:t>
      </w:r>
      <w:r w:rsidR="00F9665C">
        <w:rPr>
          <w:sz w:val="22"/>
          <w:szCs w:val="22"/>
        </w:rPr>
        <w:t xml:space="preserve"> </w:t>
      </w:r>
      <w:r w:rsidR="00DC04BE">
        <w:rPr>
          <w:sz w:val="22"/>
          <w:szCs w:val="22"/>
        </w:rPr>
        <w:t xml:space="preserve">0.2 m/s) </w:t>
      </w:r>
      <w:r w:rsidR="00803813">
        <w:rPr>
          <w:sz w:val="22"/>
          <w:szCs w:val="22"/>
        </w:rPr>
        <w:t xml:space="preserve">has </w:t>
      </w:r>
      <w:r w:rsidR="00DC04BE">
        <w:rPr>
          <w:sz w:val="22"/>
          <w:szCs w:val="22"/>
        </w:rPr>
        <w:t>show</w:t>
      </w:r>
      <w:r w:rsidR="00803813">
        <w:rPr>
          <w:sz w:val="22"/>
          <w:szCs w:val="22"/>
        </w:rPr>
        <w:t>n</w:t>
      </w:r>
      <w:r w:rsidR="00DC04BE">
        <w:rPr>
          <w:sz w:val="22"/>
          <w:szCs w:val="22"/>
        </w:rPr>
        <w:t xml:space="preserve"> in fig 5(e) which exhibits similar trends to the void fraction for both radial profiles of the core-peaking and </w:t>
      </w:r>
      <w:r w:rsidR="003E7424">
        <w:rPr>
          <w:sz w:val="22"/>
          <w:szCs w:val="22"/>
        </w:rPr>
        <w:t>wall-peaking.</w:t>
      </w:r>
      <w:r w:rsidR="00DD33EB">
        <w:rPr>
          <w:sz w:val="22"/>
          <w:szCs w:val="22"/>
        </w:rPr>
        <w:t xml:space="preserve"> </w:t>
      </w:r>
      <w:r w:rsidR="009605B5">
        <w:rPr>
          <w:sz w:val="22"/>
          <w:szCs w:val="22"/>
        </w:rPr>
        <w:t>During</w:t>
      </w:r>
      <w:r w:rsidR="00B93202">
        <w:rPr>
          <w:sz w:val="22"/>
          <w:szCs w:val="22"/>
        </w:rPr>
        <w:t xml:space="preserve"> bubbly flow</w:t>
      </w:r>
      <w:r w:rsidR="00233B8B">
        <w:rPr>
          <w:sz w:val="22"/>
          <w:szCs w:val="22"/>
        </w:rPr>
        <w:t xml:space="preserve"> regime</w:t>
      </w:r>
      <w:r w:rsidR="00B93202">
        <w:rPr>
          <w:sz w:val="22"/>
          <w:szCs w:val="22"/>
        </w:rPr>
        <w:t xml:space="preserve">, </w:t>
      </w:r>
      <w:r w:rsidR="00E83959">
        <w:rPr>
          <w:sz w:val="22"/>
          <w:szCs w:val="22"/>
        </w:rPr>
        <w:t xml:space="preserve">the bubble chord length </w:t>
      </w:r>
      <w:r w:rsidR="00792AF3">
        <w:rPr>
          <w:sz w:val="22"/>
          <w:szCs w:val="22"/>
        </w:rPr>
        <w:t xml:space="preserve">does not </w:t>
      </w:r>
      <w:r w:rsidR="00903979">
        <w:rPr>
          <w:sz w:val="22"/>
          <w:szCs w:val="22"/>
        </w:rPr>
        <w:t xml:space="preserve">vary </w:t>
      </w:r>
      <w:r w:rsidR="005F7962">
        <w:rPr>
          <w:sz w:val="22"/>
          <w:szCs w:val="22"/>
        </w:rPr>
        <w:t>that much</w:t>
      </w:r>
      <w:r w:rsidR="00903979">
        <w:rPr>
          <w:sz w:val="22"/>
          <w:szCs w:val="22"/>
        </w:rPr>
        <w:t xml:space="preserve"> in the radial profile</w:t>
      </w:r>
      <w:r w:rsidR="001A4263">
        <w:rPr>
          <w:sz w:val="22"/>
          <w:szCs w:val="22"/>
        </w:rPr>
        <w:t xml:space="preserve"> at</w:t>
      </w:r>
      <w:r w:rsidR="00F57F88">
        <w:rPr>
          <w:sz w:val="22"/>
          <w:szCs w:val="22"/>
        </w:rPr>
        <w:t xml:space="preserve"> low flow condition </w:t>
      </w:r>
      <w:r w:rsidR="00306D3E">
        <w:rPr>
          <w:sz w:val="22"/>
          <w:szCs w:val="22"/>
        </w:rPr>
        <w:t>(</w:t>
      </w:r>
      <w:r w:rsidR="00F57F88" w:rsidRPr="00BC4314">
        <w:rPr>
          <w:rFonts w:asciiTheme="majorHAnsi" w:hAnsiTheme="majorHAnsi"/>
          <w:i/>
          <w:iCs/>
          <w:sz w:val="22"/>
          <w:szCs w:val="22"/>
        </w:rPr>
        <w:t>J</w:t>
      </w:r>
      <w:r w:rsidR="00F57F88" w:rsidRPr="00025F8B">
        <w:rPr>
          <w:rFonts w:asciiTheme="majorHAnsi" w:hAnsiTheme="majorHAnsi"/>
          <w:i/>
          <w:iCs/>
          <w:sz w:val="22"/>
          <w:szCs w:val="22"/>
          <w:vertAlign w:val="subscript"/>
        </w:rPr>
        <w:t>f</w:t>
      </w:r>
      <w:r w:rsidR="00346FAA">
        <w:rPr>
          <w:rFonts w:asciiTheme="majorHAnsi" w:hAnsiTheme="majorHAnsi"/>
          <w:i/>
          <w:iCs/>
          <w:sz w:val="22"/>
          <w:szCs w:val="22"/>
        </w:rPr>
        <w:t xml:space="preserve"> </w:t>
      </w:r>
      <w:r w:rsidR="00F57F88">
        <w:rPr>
          <w:sz w:val="22"/>
          <w:szCs w:val="22"/>
        </w:rPr>
        <w:t>=</w:t>
      </w:r>
      <w:r w:rsidR="00346FAA">
        <w:rPr>
          <w:sz w:val="22"/>
          <w:szCs w:val="22"/>
        </w:rPr>
        <w:t xml:space="preserve"> </w:t>
      </w:r>
      <w:r w:rsidR="00F57F88">
        <w:rPr>
          <w:sz w:val="22"/>
          <w:szCs w:val="22"/>
        </w:rPr>
        <w:t xml:space="preserve">0.3 m/s, </w:t>
      </w:r>
      <w:r w:rsidR="00F57F88" w:rsidRPr="00BC4314">
        <w:rPr>
          <w:rFonts w:asciiTheme="majorHAnsi" w:hAnsiTheme="majorHAnsi"/>
          <w:i/>
          <w:iCs/>
          <w:sz w:val="22"/>
          <w:szCs w:val="22"/>
        </w:rPr>
        <w:t>J</w:t>
      </w:r>
      <w:r w:rsidR="00F57F88" w:rsidRPr="00025F8B">
        <w:rPr>
          <w:rFonts w:asciiTheme="majorHAnsi" w:hAnsiTheme="majorHAnsi"/>
          <w:i/>
          <w:iCs/>
          <w:sz w:val="22"/>
          <w:szCs w:val="22"/>
          <w:vertAlign w:val="subscript"/>
        </w:rPr>
        <w:t>g</w:t>
      </w:r>
      <w:r w:rsidR="00346FAA">
        <w:rPr>
          <w:rFonts w:asciiTheme="majorHAnsi" w:hAnsiTheme="majorHAnsi"/>
          <w:i/>
          <w:iCs/>
          <w:sz w:val="22"/>
          <w:szCs w:val="22"/>
        </w:rPr>
        <w:t xml:space="preserve"> </w:t>
      </w:r>
      <w:r w:rsidR="00F57F88">
        <w:rPr>
          <w:sz w:val="22"/>
          <w:szCs w:val="22"/>
        </w:rPr>
        <w:t>=</w:t>
      </w:r>
      <w:r w:rsidR="00346FAA">
        <w:rPr>
          <w:sz w:val="22"/>
          <w:szCs w:val="22"/>
        </w:rPr>
        <w:t xml:space="preserve"> </w:t>
      </w:r>
      <w:r w:rsidR="00F57F88">
        <w:rPr>
          <w:sz w:val="22"/>
          <w:szCs w:val="22"/>
        </w:rPr>
        <w:t>0.124 m/s</w:t>
      </w:r>
      <w:r w:rsidR="00306D3E">
        <w:rPr>
          <w:sz w:val="22"/>
          <w:szCs w:val="22"/>
        </w:rPr>
        <w:t>), while in flow conditions</w:t>
      </w:r>
      <w:r w:rsidR="00FD42F3">
        <w:rPr>
          <w:sz w:val="22"/>
          <w:szCs w:val="22"/>
        </w:rPr>
        <w:t xml:space="preserve"> (</w:t>
      </w:r>
      <w:r w:rsidR="00FD42F3" w:rsidRPr="00BC4314">
        <w:rPr>
          <w:rFonts w:asciiTheme="majorHAnsi" w:hAnsiTheme="majorHAnsi"/>
          <w:i/>
          <w:iCs/>
          <w:sz w:val="22"/>
          <w:szCs w:val="22"/>
        </w:rPr>
        <w:t>J</w:t>
      </w:r>
      <w:r w:rsidR="00FD42F3" w:rsidRPr="00BC4314">
        <w:rPr>
          <w:rFonts w:asciiTheme="majorHAnsi" w:hAnsiTheme="majorHAnsi"/>
          <w:i/>
          <w:iCs/>
          <w:sz w:val="22"/>
          <w:szCs w:val="22"/>
          <w:vertAlign w:val="subscript"/>
        </w:rPr>
        <w:t>f</w:t>
      </w:r>
      <w:r w:rsidR="00346FAA">
        <w:rPr>
          <w:rFonts w:asciiTheme="majorHAnsi" w:hAnsiTheme="majorHAnsi"/>
          <w:i/>
          <w:iCs/>
          <w:sz w:val="22"/>
          <w:szCs w:val="22"/>
        </w:rPr>
        <w:t xml:space="preserve"> </w:t>
      </w:r>
      <w:r w:rsidR="00FD42F3">
        <w:rPr>
          <w:sz w:val="22"/>
          <w:szCs w:val="22"/>
        </w:rPr>
        <w:t>=</w:t>
      </w:r>
      <w:r w:rsidR="00346FAA">
        <w:rPr>
          <w:sz w:val="22"/>
          <w:szCs w:val="22"/>
        </w:rPr>
        <w:t xml:space="preserve"> </w:t>
      </w:r>
      <w:r w:rsidR="00FD42F3">
        <w:rPr>
          <w:sz w:val="22"/>
          <w:szCs w:val="22"/>
        </w:rPr>
        <w:t xml:space="preserve">1.0 m/s, </w:t>
      </w:r>
      <w:r w:rsidR="00FD42F3" w:rsidRPr="00BC4314">
        <w:rPr>
          <w:rFonts w:asciiTheme="majorHAnsi" w:hAnsiTheme="majorHAnsi"/>
          <w:i/>
          <w:iCs/>
          <w:sz w:val="22"/>
          <w:szCs w:val="22"/>
        </w:rPr>
        <w:t>J</w:t>
      </w:r>
      <w:r w:rsidR="00FD42F3" w:rsidRPr="00BC4314">
        <w:rPr>
          <w:rFonts w:asciiTheme="majorHAnsi" w:hAnsiTheme="majorHAnsi"/>
          <w:i/>
          <w:iCs/>
          <w:sz w:val="22"/>
          <w:szCs w:val="22"/>
          <w:vertAlign w:val="subscript"/>
        </w:rPr>
        <w:t>g</w:t>
      </w:r>
      <w:r w:rsidR="00FD42F3">
        <w:rPr>
          <w:sz w:val="22"/>
          <w:szCs w:val="22"/>
        </w:rPr>
        <w:t>=</w:t>
      </w:r>
      <w:r w:rsidR="00346FAA">
        <w:rPr>
          <w:sz w:val="22"/>
          <w:szCs w:val="22"/>
        </w:rPr>
        <w:t xml:space="preserve"> </w:t>
      </w:r>
      <w:r w:rsidR="00FD42F3">
        <w:rPr>
          <w:sz w:val="22"/>
          <w:szCs w:val="22"/>
        </w:rPr>
        <w:t xml:space="preserve">0.2 m/s; </w:t>
      </w:r>
      <w:r w:rsidR="00FD42F3" w:rsidRPr="00BC4314">
        <w:rPr>
          <w:rFonts w:asciiTheme="majorHAnsi" w:hAnsiTheme="majorHAnsi"/>
          <w:i/>
          <w:iCs/>
          <w:sz w:val="22"/>
          <w:szCs w:val="22"/>
        </w:rPr>
        <w:t>J</w:t>
      </w:r>
      <w:r w:rsidR="00FD42F3" w:rsidRPr="00025F8B">
        <w:rPr>
          <w:rFonts w:asciiTheme="majorHAnsi" w:hAnsiTheme="majorHAnsi"/>
          <w:i/>
          <w:iCs/>
          <w:sz w:val="22"/>
          <w:szCs w:val="22"/>
          <w:vertAlign w:val="subscript"/>
        </w:rPr>
        <w:t>f</w:t>
      </w:r>
      <w:r w:rsidR="004C1F91">
        <w:rPr>
          <w:rFonts w:asciiTheme="majorHAnsi" w:hAnsiTheme="majorHAnsi"/>
          <w:i/>
          <w:iCs/>
          <w:sz w:val="22"/>
          <w:szCs w:val="22"/>
        </w:rPr>
        <w:t xml:space="preserve"> </w:t>
      </w:r>
      <w:r w:rsidR="00FD42F3">
        <w:rPr>
          <w:sz w:val="22"/>
          <w:szCs w:val="22"/>
        </w:rPr>
        <w:t>=</w:t>
      </w:r>
      <w:r w:rsidR="00346FAA">
        <w:rPr>
          <w:sz w:val="22"/>
          <w:szCs w:val="22"/>
        </w:rPr>
        <w:t xml:space="preserve"> </w:t>
      </w:r>
      <w:r w:rsidR="00FD42F3">
        <w:rPr>
          <w:sz w:val="22"/>
          <w:szCs w:val="22"/>
        </w:rPr>
        <w:t xml:space="preserve">0.6 m/s, </w:t>
      </w:r>
      <w:r w:rsidR="00FD42F3" w:rsidRPr="00BC4314">
        <w:rPr>
          <w:rFonts w:asciiTheme="majorHAnsi" w:hAnsiTheme="majorHAnsi"/>
          <w:i/>
          <w:iCs/>
          <w:sz w:val="22"/>
          <w:szCs w:val="22"/>
        </w:rPr>
        <w:t>J</w:t>
      </w:r>
      <w:r w:rsidR="00FD42F3" w:rsidRPr="00025F8B">
        <w:rPr>
          <w:rFonts w:asciiTheme="majorHAnsi" w:hAnsiTheme="majorHAnsi"/>
          <w:i/>
          <w:iCs/>
          <w:sz w:val="22"/>
          <w:szCs w:val="22"/>
          <w:vertAlign w:val="subscript"/>
        </w:rPr>
        <w:t>g</w:t>
      </w:r>
      <w:r w:rsidR="00346FAA">
        <w:rPr>
          <w:rFonts w:asciiTheme="majorHAnsi" w:hAnsiTheme="majorHAnsi"/>
          <w:i/>
          <w:iCs/>
          <w:sz w:val="22"/>
          <w:szCs w:val="22"/>
        </w:rPr>
        <w:t xml:space="preserve"> </w:t>
      </w:r>
      <w:r w:rsidR="00FD42F3">
        <w:rPr>
          <w:sz w:val="22"/>
          <w:szCs w:val="22"/>
        </w:rPr>
        <w:t xml:space="preserve">= 0.043 m/s) the rod geometry </w:t>
      </w:r>
      <w:r w:rsidR="00F72E50">
        <w:rPr>
          <w:sz w:val="22"/>
          <w:szCs w:val="22"/>
        </w:rPr>
        <w:t>effect</w:t>
      </w:r>
      <w:r w:rsidR="001E056F">
        <w:rPr>
          <w:sz w:val="22"/>
          <w:szCs w:val="22"/>
        </w:rPr>
        <w:t xml:space="preserve"> is </w:t>
      </w:r>
      <w:r w:rsidR="001E056F" w:rsidRPr="001E056F">
        <w:rPr>
          <w:sz w:val="22"/>
          <w:szCs w:val="22"/>
        </w:rPr>
        <w:t>obvious</w:t>
      </w:r>
      <w:r w:rsidR="00A51EC5">
        <w:rPr>
          <w:sz w:val="22"/>
          <w:szCs w:val="22"/>
        </w:rPr>
        <w:t xml:space="preserve"> trend to core-peaking pattern due to the narrow gap between the rods </w:t>
      </w:r>
      <w:r w:rsidR="000F32CD">
        <w:rPr>
          <w:sz w:val="22"/>
          <w:szCs w:val="22"/>
        </w:rPr>
        <w:t>w</w:t>
      </w:r>
      <w:r w:rsidR="000F32CD" w:rsidRPr="000F32CD">
        <w:rPr>
          <w:sz w:val="22"/>
          <w:szCs w:val="22"/>
        </w:rPr>
        <w:t xml:space="preserve">hich makes it easier for bubbles </w:t>
      </w:r>
      <w:r w:rsidR="009157FA" w:rsidRPr="009157FA">
        <w:rPr>
          <w:sz w:val="22"/>
          <w:szCs w:val="22"/>
        </w:rPr>
        <w:t>to be mo</w:t>
      </w:r>
      <w:r w:rsidR="00A05A6E">
        <w:rPr>
          <w:sz w:val="22"/>
          <w:szCs w:val="22"/>
        </w:rPr>
        <w:t>v</w:t>
      </w:r>
      <w:r w:rsidR="009157FA" w:rsidRPr="009157FA">
        <w:rPr>
          <w:sz w:val="22"/>
          <w:szCs w:val="22"/>
        </w:rPr>
        <w:t xml:space="preserve">e </w:t>
      </w:r>
      <w:r w:rsidR="00A05A6E">
        <w:rPr>
          <w:sz w:val="22"/>
          <w:szCs w:val="22"/>
        </w:rPr>
        <w:t xml:space="preserve">towards to the </w:t>
      </w:r>
      <w:r w:rsidR="00A05A6E">
        <w:rPr>
          <w:sz w:val="22"/>
          <w:szCs w:val="22"/>
        </w:rPr>
        <w:t>center of the sub</w:t>
      </w:r>
      <w:r w:rsidR="00ED152D">
        <w:rPr>
          <w:sz w:val="22"/>
          <w:szCs w:val="22"/>
        </w:rPr>
        <w:t>-</w:t>
      </w:r>
      <w:r w:rsidR="00A05A6E">
        <w:rPr>
          <w:sz w:val="22"/>
          <w:szCs w:val="22"/>
        </w:rPr>
        <w:t>channels</w:t>
      </w:r>
      <w:r w:rsidR="005B1843">
        <w:rPr>
          <w:sz w:val="22"/>
          <w:szCs w:val="22"/>
        </w:rPr>
        <w:t xml:space="preserve"> or </w:t>
      </w:r>
      <w:r w:rsidR="00ED152D">
        <w:rPr>
          <w:sz w:val="22"/>
          <w:szCs w:val="22"/>
        </w:rPr>
        <w:t>wall-channels</w:t>
      </w:r>
      <w:r w:rsidR="001A5040">
        <w:rPr>
          <w:sz w:val="22"/>
          <w:szCs w:val="22"/>
        </w:rPr>
        <w:t>.</w:t>
      </w:r>
      <w:r w:rsidR="00DD33EB">
        <w:rPr>
          <w:sz w:val="22"/>
          <w:szCs w:val="22"/>
        </w:rPr>
        <w:t xml:space="preserve"> </w:t>
      </w:r>
      <w:r w:rsidR="00217F75">
        <w:rPr>
          <w:sz w:val="22"/>
          <w:szCs w:val="22"/>
        </w:rPr>
        <w:t>Fig 5(d)</w:t>
      </w:r>
      <w:r w:rsidR="006B5EEB">
        <w:rPr>
          <w:sz w:val="22"/>
          <w:szCs w:val="22"/>
        </w:rPr>
        <w:t xml:space="preserve"> </w:t>
      </w:r>
      <w:r w:rsidR="006B5EEB" w:rsidRPr="006B5EEB">
        <w:rPr>
          <w:sz w:val="22"/>
          <w:szCs w:val="22"/>
        </w:rPr>
        <w:t xml:space="preserve">demonstrates the </w:t>
      </w:r>
      <w:r w:rsidR="00DC1AB7">
        <w:rPr>
          <w:sz w:val="22"/>
          <w:szCs w:val="22"/>
        </w:rPr>
        <w:t>c</w:t>
      </w:r>
      <w:r w:rsidR="00DC1AB7" w:rsidRPr="00DC1AB7">
        <w:rPr>
          <w:sz w:val="22"/>
          <w:szCs w:val="22"/>
        </w:rPr>
        <w:t>haracteristic</w:t>
      </w:r>
      <w:r w:rsidR="006B5EEB" w:rsidRPr="006B5EEB">
        <w:rPr>
          <w:sz w:val="22"/>
          <w:szCs w:val="22"/>
        </w:rPr>
        <w:t>s</w:t>
      </w:r>
      <w:r w:rsidR="006B5EEB">
        <w:rPr>
          <w:sz w:val="22"/>
          <w:szCs w:val="22"/>
        </w:rPr>
        <w:t xml:space="preserve"> of </w:t>
      </w:r>
      <w:r w:rsidR="00D97DF6">
        <w:rPr>
          <w:sz w:val="22"/>
          <w:szCs w:val="22"/>
        </w:rPr>
        <w:t xml:space="preserve">the local bubble velocity radial profile does </w:t>
      </w:r>
      <w:r w:rsidR="008855DC">
        <w:rPr>
          <w:sz w:val="22"/>
          <w:szCs w:val="22"/>
        </w:rPr>
        <w:t xml:space="preserve">it show that </w:t>
      </w:r>
      <w:r w:rsidR="004C157E">
        <w:rPr>
          <w:sz w:val="22"/>
          <w:szCs w:val="22"/>
        </w:rPr>
        <w:t>the low and high</w:t>
      </w:r>
      <w:r w:rsidR="008855DC">
        <w:rPr>
          <w:sz w:val="22"/>
          <w:szCs w:val="22"/>
        </w:rPr>
        <w:t xml:space="preserve"> flow conditions are </w:t>
      </w:r>
      <w:r w:rsidR="00033B86">
        <w:rPr>
          <w:sz w:val="22"/>
          <w:szCs w:val="22"/>
        </w:rPr>
        <w:t xml:space="preserve">nearly </w:t>
      </w:r>
      <w:r w:rsidR="007F218A">
        <w:rPr>
          <w:sz w:val="22"/>
          <w:szCs w:val="22"/>
        </w:rPr>
        <w:t xml:space="preserve">smooth </w:t>
      </w:r>
      <w:r w:rsidR="009F22C8">
        <w:rPr>
          <w:sz w:val="22"/>
          <w:szCs w:val="22"/>
        </w:rPr>
        <w:t>shape</w:t>
      </w:r>
      <w:r w:rsidR="00E37C58">
        <w:rPr>
          <w:sz w:val="22"/>
          <w:szCs w:val="22"/>
        </w:rPr>
        <w:t xml:space="preserve"> with</w:t>
      </w:r>
      <w:r w:rsidR="003B4B37">
        <w:rPr>
          <w:sz w:val="22"/>
          <w:szCs w:val="22"/>
        </w:rPr>
        <w:t xml:space="preserve"> only little </w:t>
      </w:r>
      <w:r w:rsidR="007E43D7">
        <w:rPr>
          <w:sz w:val="22"/>
          <w:szCs w:val="22"/>
        </w:rPr>
        <w:t>differences</w:t>
      </w:r>
      <w:r w:rsidR="00B55533">
        <w:rPr>
          <w:sz w:val="22"/>
          <w:szCs w:val="22"/>
        </w:rPr>
        <w:t xml:space="preserve"> in the center of the subchannels</w:t>
      </w:r>
      <w:r w:rsidR="009F22C8">
        <w:rPr>
          <w:sz w:val="22"/>
          <w:szCs w:val="22"/>
        </w:rPr>
        <w:t xml:space="preserve">, while the </w:t>
      </w:r>
      <w:r w:rsidR="00B619B1">
        <w:rPr>
          <w:sz w:val="22"/>
          <w:szCs w:val="22"/>
        </w:rPr>
        <w:t>(</w:t>
      </w:r>
      <w:r w:rsidR="00B619B1" w:rsidRPr="00BC4314">
        <w:rPr>
          <w:rFonts w:asciiTheme="majorHAnsi" w:hAnsiTheme="majorHAnsi"/>
          <w:i/>
          <w:iCs/>
          <w:sz w:val="22"/>
          <w:szCs w:val="22"/>
        </w:rPr>
        <w:t>J</w:t>
      </w:r>
      <w:r w:rsidR="00B619B1" w:rsidRPr="00BC4314">
        <w:rPr>
          <w:rFonts w:asciiTheme="majorHAnsi" w:hAnsiTheme="majorHAnsi"/>
          <w:i/>
          <w:iCs/>
          <w:sz w:val="22"/>
          <w:szCs w:val="22"/>
          <w:vertAlign w:val="subscript"/>
        </w:rPr>
        <w:t>f</w:t>
      </w:r>
      <w:r w:rsidR="00346FAA">
        <w:rPr>
          <w:rFonts w:asciiTheme="majorHAnsi" w:hAnsiTheme="majorHAnsi"/>
          <w:i/>
          <w:iCs/>
          <w:sz w:val="22"/>
          <w:szCs w:val="22"/>
        </w:rPr>
        <w:t xml:space="preserve"> </w:t>
      </w:r>
      <w:r w:rsidR="00B619B1">
        <w:rPr>
          <w:sz w:val="22"/>
          <w:szCs w:val="22"/>
        </w:rPr>
        <w:t>=</w:t>
      </w:r>
      <w:r w:rsidR="00346FAA">
        <w:rPr>
          <w:sz w:val="22"/>
          <w:szCs w:val="22"/>
        </w:rPr>
        <w:t xml:space="preserve"> </w:t>
      </w:r>
      <w:r w:rsidR="00B619B1">
        <w:rPr>
          <w:sz w:val="22"/>
          <w:szCs w:val="22"/>
        </w:rPr>
        <w:t xml:space="preserve">0.6 m/s, </w:t>
      </w:r>
      <w:r w:rsidR="00B619B1" w:rsidRPr="00BC4314">
        <w:rPr>
          <w:rFonts w:asciiTheme="majorHAnsi" w:hAnsiTheme="majorHAnsi"/>
          <w:i/>
          <w:iCs/>
          <w:sz w:val="22"/>
          <w:szCs w:val="22"/>
        </w:rPr>
        <w:t>J</w:t>
      </w:r>
      <w:r w:rsidR="00B619B1" w:rsidRPr="00BC4314">
        <w:rPr>
          <w:rFonts w:asciiTheme="majorHAnsi" w:hAnsiTheme="majorHAnsi"/>
          <w:i/>
          <w:iCs/>
          <w:sz w:val="22"/>
          <w:szCs w:val="22"/>
          <w:vertAlign w:val="subscript"/>
        </w:rPr>
        <w:t>g</w:t>
      </w:r>
      <w:r w:rsidR="00346FAA">
        <w:rPr>
          <w:rFonts w:asciiTheme="majorHAnsi" w:hAnsiTheme="majorHAnsi"/>
          <w:i/>
          <w:iCs/>
          <w:sz w:val="22"/>
          <w:szCs w:val="22"/>
        </w:rPr>
        <w:t xml:space="preserve"> </w:t>
      </w:r>
      <w:r w:rsidR="00B619B1">
        <w:rPr>
          <w:sz w:val="22"/>
          <w:szCs w:val="22"/>
        </w:rPr>
        <w:t xml:space="preserve">= 0.043 m/s) </w:t>
      </w:r>
      <w:r w:rsidR="00F06398" w:rsidRPr="00F06398">
        <w:rPr>
          <w:sz w:val="22"/>
          <w:szCs w:val="22"/>
        </w:rPr>
        <w:t>exhibits a notable core-peaking pattern in its radial profile</w:t>
      </w:r>
      <w:r w:rsidR="004720F4">
        <w:rPr>
          <w:sz w:val="22"/>
          <w:szCs w:val="22"/>
        </w:rPr>
        <w:t>.</w:t>
      </w:r>
    </w:p>
    <w:p w14:paraId="0AEE6AF5" w14:textId="43E5DAC4" w:rsidR="00FA4426" w:rsidRDefault="00A573A3" w:rsidP="0013701F">
      <w:pPr>
        <w:pStyle w:val="BodyTextIndent"/>
        <w:spacing w:after="240"/>
        <w:rPr>
          <w:sz w:val="22"/>
          <w:szCs w:val="22"/>
        </w:rPr>
      </w:pPr>
      <w:r w:rsidRPr="00A573A3">
        <w:rPr>
          <w:sz w:val="22"/>
          <w:szCs w:val="22"/>
        </w:rPr>
        <w:t xml:space="preserve">The spacer grid is one of the most crucial components in nuclear fuel assemblies. Its primary purpose is to support and maintain the position of the fuel rods, preventing any potential vibrations. Additionally, it plays a significant role in enhancing the heat transfer performance by increasing turbulence between the rods. Therefore, it is essential to investigate the spacer grid's effects on the overall thermal performance of the nuclear assembly by examining its vicinity. In this study, the impact of the mixing vane spacer grid on the local parameters is measured by analyzing the bubble properties at two </w:t>
      </w:r>
      <w:r w:rsidR="00727504" w:rsidRPr="00A573A3">
        <w:rPr>
          <w:sz w:val="22"/>
          <w:szCs w:val="22"/>
        </w:rPr>
        <w:t>axial</w:t>
      </w:r>
      <w:r w:rsidR="00727504">
        <w:rPr>
          <w:sz w:val="22"/>
          <w:szCs w:val="22"/>
        </w:rPr>
        <w:t xml:space="preserve"> </w:t>
      </w:r>
      <w:r w:rsidR="00727504" w:rsidRPr="00A573A3">
        <w:rPr>
          <w:sz w:val="22"/>
          <w:szCs w:val="22"/>
        </w:rPr>
        <w:t>locat</w:t>
      </w:r>
      <w:r w:rsidR="00727504">
        <w:rPr>
          <w:sz w:val="22"/>
          <w:szCs w:val="22"/>
        </w:rPr>
        <w:t xml:space="preserve">ions </w:t>
      </w:r>
      <w:r w:rsidRPr="00A573A3">
        <w:rPr>
          <w:sz w:val="22"/>
          <w:szCs w:val="22"/>
        </w:rPr>
        <w:t>at</w:t>
      </w:r>
      <w:r w:rsidR="00A97D5F">
        <w:rPr>
          <w:sz w:val="22"/>
          <w:szCs w:val="22"/>
        </w:rPr>
        <w:t xml:space="preserve"> </w:t>
      </w:r>
      <w:r w:rsidR="00A97D5F" w:rsidRPr="00554974">
        <w:rPr>
          <w:rFonts w:asciiTheme="majorHAnsi" w:hAnsiTheme="majorHAnsi"/>
          <w:i/>
          <w:iCs/>
          <w:sz w:val="22"/>
          <w:szCs w:val="22"/>
        </w:rPr>
        <w:t>z/D</w:t>
      </w:r>
      <w:r w:rsidR="00A97D5F" w:rsidRPr="00554974">
        <w:rPr>
          <w:rFonts w:asciiTheme="majorHAnsi" w:hAnsiTheme="majorHAnsi"/>
          <w:i/>
          <w:iCs/>
          <w:sz w:val="22"/>
          <w:szCs w:val="22"/>
          <w:vertAlign w:val="subscript"/>
        </w:rPr>
        <w:t>H</w:t>
      </w:r>
      <w:r w:rsidR="00346FAA">
        <w:rPr>
          <w:rFonts w:asciiTheme="majorHAnsi" w:hAnsiTheme="majorHAnsi"/>
          <w:i/>
          <w:iCs/>
          <w:sz w:val="22"/>
          <w:szCs w:val="22"/>
        </w:rPr>
        <w:t xml:space="preserve"> </w:t>
      </w:r>
      <w:r w:rsidR="00A97D5F">
        <w:rPr>
          <w:sz w:val="22"/>
          <w:szCs w:val="22"/>
        </w:rPr>
        <w:t>= 67.6 and 85.8</w:t>
      </w:r>
      <w:r w:rsidR="00C964E4">
        <w:rPr>
          <w:sz w:val="22"/>
          <w:szCs w:val="22"/>
        </w:rPr>
        <w:t xml:space="preserve"> </w:t>
      </w:r>
      <w:r w:rsidR="00CC5223" w:rsidRPr="00CC5223">
        <w:rPr>
          <w:sz w:val="22"/>
          <w:szCs w:val="22"/>
        </w:rPr>
        <w:t>as shown in Fig 6. Observing the radial profile, fluctuations in void fraction and interfacial area concentration are evident, with significantly different values between</w:t>
      </w:r>
      <w:r w:rsidR="00CC5223">
        <w:rPr>
          <w:sz w:val="22"/>
          <w:szCs w:val="22"/>
        </w:rPr>
        <w:t xml:space="preserve"> </w:t>
      </w:r>
      <w:r w:rsidR="005602FF" w:rsidRPr="00554974">
        <w:rPr>
          <w:rFonts w:asciiTheme="majorHAnsi" w:hAnsiTheme="majorHAnsi"/>
          <w:i/>
          <w:iCs/>
          <w:sz w:val="22"/>
          <w:szCs w:val="22"/>
        </w:rPr>
        <w:t>z/D</w:t>
      </w:r>
      <w:r w:rsidR="005602FF" w:rsidRPr="00554974">
        <w:rPr>
          <w:rFonts w:asciiTheme="majorHAnsi" w:hAnsiTheme="majorHAnsi"/>
          <w:i/>
          <w:iCs/>
          <w:sz w:val="22"/>
          <w:szCs w:val="22"/>
          <w:vertAlign w:val="subscript"/>
        </w:rPr>
        <w:t>H</w:t>
      </w:r>
      <w:r w:rsidR="00346FAA">
        <w:rPr>
          <w:rFonts w:asciiTheme="majorHAnsi" w:hAnsiTheme="majorHAnsi"/>
          <w:i/>
          <w:iCs/>
          <w:sz w:val="22"/>
          <w:szCs w:val="22"/>
        </w:rPr>
        <w:t xml:space="preserve"> </w:t>
      </w:r>
      <w:r w:rsidR="005602FF">
        <w:rPr>
          <w:sz w:val="22"/>
          <w:szCs w:val="22"/>
        </w:rPr>
        <w:t xml:space="preserve">= 67.6 </w:t>
      </w:r>
      <w:r w:rsidR="001A3CBB">
        <w:rPr>
          <w:sz w:val="22"/>
          <w:szCs w:val="22"/>
        </w:rPr>
        <w:t>and</w:t>
      </w:r>
      <w:r w:rsidR="005602FF">
        <w:rPr>
          <w:sz w:val="22"/>
          <w:szCs w:val="22"/>
        </w:rPr>
        <w:t xml:space="preserve"> </w:t>
      </w:r>
      <w:r w:rsidR="005602FF" w:rsidRPr="00554974">
        <w:rPr>
          <w:rFonts w:asciiTheme="majorHAnsi" w:hAnsiTheme="majorHAnsi"/>
          <w:i/>
          <w:iCs/>
          <w:sz w:val="22"/>
          <w:szCs w:val="22"/>
        </w:rPr>
        <w:t>z/D</w:t>
      </w:r>
      <w:r w:rsidR="005602FF" w:rsidRPr="00554974">
        <w:rPr>
          <w:rFonts w:asciiTheme="majorHAnsi" w:hAnsiTheme="majorHAnsi"/>
          <w:i/>
          <w:iCs/>
          <w:sz w:val="22"/>
          <w:szCs w:val="22"/>
          <w:vertAlign w:val="subscript"/>
        </w:rPr>
        <w:t>H</w:t>
      </w:r>
      <w:r w:rsidR="00346FAA">
        <w:rPr>
          <w:rFonts w:asciiTheme="majorHAnsi" w:hAnsiTheme="majorHAnsi"/>
          <w:i/>
          <w:iCs/>
          <w:sz w:val="22"/>
          <w:szCs w:val="22"/>
        </w:rPr>
        <w:t xml:space="preserve"> </w:t>
      </w:r>
      <w:r w:rsidR="005602FF">
        <w:rPr>
          <w:sz w:val="22"/>
          <w:szCs w:val="22"/>
        </w:rPr>
        <w:t>= 85.8</w:t>
      </w:r>
      <w:r w:rsidR="00EE1C7D">
        <w:rPr>
          <w:sz w:val="22"/>
          <w:szCs w:val="22"/>
        </w:rPr>
        <w:t xml:space="preserve">. </w:t>
      </w:r>
      <w:r w:rsidR="006A4F89" w:rsidRPr="006A4F89">
        <w:rPr>
          <w:sz w:val="22"/>
          <w:szCs w:val="22"/>
        </w:rPr>
        <w:t>The higher void fraction and interfacial area concentration at</w:t>
      </w:r>
      <w:r w:rsidR="004B5694">
        <w:rPr>
          <w:sz w:val="22"/>
          <w:szCs w:val="22"/>
        </w:rPr>
        <w:t xml:space="preserve"> </w:t>
      </w:r>
      <w:r w:rsidR="00AE0830" w:rsidRPr="00554974">
        <w:rPr>
          <w:rFonts w:asciiTheme="majorHAnsi" w:hAnsiTheme="majorHAnsi"/>
          <w:i/>
          <w:iCs/>
          <w:sz w:val="22"/>
          <w:szCs w:val="22"/>
        </w:rPr>
        <w:t>z/D</w:t>
      </w:r>
      <w:r w:rsidR="00AE0830" w:rsidRPr="00554974">
        <w:rPr>
          <w:rFonts w:asciiTheme="majorHAnsi" w:hAnsiTheme="majorHAnsi"/>
          <w:i/>
          <w:iCs/>
          <w:sz w:val="22"/>
          <w:szCs w:val="22"/>
          <w:vertAlign w:val="subscript"/>
        </w:rPr>
        <w:t>H</w:t>
      </w:r>
      <w:r w:rsidR="00346FAA">
        <w:rPr>
          <w:rFonts w:asciiTheme="majorHAnsi" w:hAnsiTheme="majorHAnsi"/>
          <w:i/>
          <w:iCs/>
          <w:sz w:val="22"/>
          <w:szCs w:val="22"/>
        </w:rPr>
        <w:t xml:space="preserve"> </w:t>
      </w:r>
      <w:r w:rsidR="00AE0830">
        <w:rPr>
          <w:sz w:val="22"/>
          <w:szCs w:val="22"/>
        </w:rPr>
        <w:t>= 85.8</w:t>
      </w:r>
      <w:r w:rsidR="00EE2CBE">
        <w:rPr>
          <w:sz w:val="22"/>
          <w:szCs w:val="22"/>
        </w:rPr>
        <w:t xml:space="preserve"> </w:t>
      </w:r>
      <w:r w:rsidR="00B73B1F" w:rsidRPr="00B73B1F">
        <w:rPr>
          <w:sz w:val="22"/>
          <w:szCs w:val="22"/>
        </w:rPr>
        <w:t>are attributed to the wake region just after the spacer grid. Additionally, the spacer grid significantly contributes to the break-</w:t>
      </w:r>
      <w:r w:rsidR="00104BBF" w:rsidRPr="00B73B1F">
        <w:rPr>
          <w:sz w:val="22"/>
          <w:szCs w:val="22"/>
        </w:rPr>
        <w:t>up of</w:t>
      </w:r>
      <w:r w:rsidR="00B73B1F" w:rsidRPr="00B73B1F">
        <w:rPr>
          <w:sz w:val="22"/>
          <w:szCs w:val="22"/>
        </w:rPr>
        <w:t xml:space="preserve"> </w:t>
      </w:r>
      <w:r w:rsidR="00E406ED">
        <w:rPr>
          <w:sz w:val="22"/>
          <w:szCs w:val="22"/>
        </w:rPr>
        <w:t>the bubbles</w:t>
      </w:r>
      <w:r w:rsidR="00FB3311">
        <w:rPr>
          <w:sz w:val="22"/>
          <w:szCs w:val="22"/>
        </w:rPr>
        <w:t xml:space="preserve"> which</w:t>
      </w:r>
      <w:r w:rsidR="00B73B1F" w:rsidRPr="00B73B1F">
        <w:rPr>
          <w:sz w:val="22"/>
          <w:szCs w:val="22"/>
        </w:rPr>
        <w:t xml:space="preserve"> resulting in a reduction of bubble </w:t>
      </w:r>
      <w:r w:rsidR="00D437F0" w:rsidRPr="00B73B1F">
        <w:rPr>
          <w:sz w:val="22"/>
          <w:szCs w:val="22"/>
        </w:rPr>
        <w:t>size</w:t>
      </w:r>
      <w:r w:rsidR="00D437F0">
        <w:rPr>
          <w:sz w:val="22"/>
          <w:szCs w:val="22"/>
        </w:rPr>
        <w:t xml:space="preserve"> </w:t>
      </w:r>
      <w:r w:rsidR="00DE4372">
        <w:rPr>
          <w:sz w:val="22"/>
          <w:szCs w:val="22"/>
        </w:rPr>
        <w:t>and</w:t>
      </w:r>
      <w:r w:rsidR="00D437F0">
        <w:rPr>
          <w:sz w:val="22"/>
          <w:szCs w:val="22"/>
        </w:rPr>
        <w:t xml:space="preserve"> </w:t>
      </w:r>
      <w:r w:rsidR="003E51C4">
        <w:rPr>
          <w:sz w:val="22"/>
          <w:szCs w:val="22"/>
        </w:rPr>
        <w:t>cause</w:t>
      </w:r>
      <w:r w:rsidR="008E51D2">
        <w:rPr>
          <w:sz w:val="22"/>
          <w:szCs w:val="22"/>
        </w:rPr>
        <w:t xml:space="preserve">s </w:t>
      </w:r>
      <w:r w:rsidR="00090140">
        <w:rPr>
          <w:sz w:val="22"/>
          <w:szCs w:val="22"/>
        </w:rPr>
        <w:t xml:space="preserve">also </w:t>
      </w:r>
      <w:r w:rsidR="00274CF5">
        <w:rPr>
          <w:sz w:val="22"/>
          <w:szCs w:val="22"/>
        </w:rPr>
        <w:t>to</w:t>
      </w:r>
      <w:r w:rsidR="008E51D2">
        <w:rPr>
          <w:sz w:val="22"/>
          <w:szCs w:val="22"/>
        </w:rPr>
        <w:t xml:space="preserve"> reduction in the bubbles velocity </w:t>
      </w:r>
      <w:r w:rsidR="00B73B1F" w:rsidRPr="00B73B1F">
        <w:rPr>
          <w:sz w:val="22"/>
          <w:szCs w:val="22"/>
        </w:rPr>
        <w:t>after the bubbles pass through the spacer grid</w:t>
      </w:r>
      <w:r w:rsidR="001C026C">
        <w:rPr>
          <w:sz w:val="22"/>
          <w:szCs w:val="22"/>
        </w:rPr>
        <w:t>,</w:t>
      </w:r>
      <w:r w:rsidR="00B73B1F">
        <w:rPr>
          <w:sz w:val="22"/>
          <w:szCs w:val="22"/>
        </w:rPr>
        <w:t xml:space="preserve"> as shown in Fig</w:t>
      </w:r>
      <w:r w:rsidR="001C026C">
        <w:rPr>
          <w:sz w:val="22"/>
          <w:szCs w:val="22"/>
        </w:rPr>
        <w:t xml:space="preserve"> 6(c)</w:t>
      </w:r>
      <w:r w:rsidR="009A3FDF">
        <w:rPr>
          <w:sz w:val="22"/>
          <w:szCs w:val="22"/>
        </w:rPr>
        <w:t xml:space="preserve"> and</w:t>
      </w:r>
      <w:r w:rsidR="00392151">
        <w:rPr>
          <w:sz w:val="22"/>
          <w:szCs w:val="22"/>
        </w:rPr>
        <w:t xml:space="preserve"> (d).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tblGrid>
      <w:tr w:rsidR="00186DDC" w14:paraId="21F40F7D" w14:textId="77777777" w:rsidTr="00FA4426">
        <w:tc>
          <w:tcPr>
            <w:tcW w:w="4770" w:type="dxa"/>
          </w:tcPr>
          <w:p w14:paraId="3A81D5CE" w14:textId="20A5BF21" w:rsidR="00186DDC" w:rsidRDefault="001564FD" w:rsidP="001564FD">
            <w:pPr>
              <w:pStyle w:val="BodyTextIndent"/>
              <w:ind w:firstLine="0"/>
              <w:jc w:val="center"/>
              <w:rPr>
                <w:sz w:val="22"/>
                <w:szCs w:val="22"/>
              </w:rPr>
            </w:pPr>
            <w:r>
              <w:rPr>
                <w:noProof/>
                <w:sz w:val="22"/>
                <w:szCs w:val="22"/>
              </w:rPr>
              <w:t>(a)</w:t>
            </w:r>
          </w:p>
        </w:tc>
      </w:tr>
      <w:tr w:rsidR="00186DDC" w14:paraId="291C2D94" w14:textId="77777777" w:rsidTr="00FA4426">
        <w:tc>
          <w:tcPr>
            <w:tcW w:w="4770" w:type="dxa"/>
          </w:tcPr>
          <w:p w14:paraId="2B02E51C" w14:textId="5D7186F9" w:rsidR="00186DDC" w:rsidRDefault="001564FD" w:rsidP="003741F0">
            <w:pPr>
              <w:pStyle w:val="BodyTextIndent"/>
              <w:ind w:firstLine="0"/>
              <w:jc w:val="center"/>
              <w:rPr>
                <w:sz w:val="22"/>
                <w:szCs w:val="22"/>
              </w:rPr>
            </w:pPr>
            <w:r w:rsidRPr="00762C57">
              <w:rPr>
                <w:noProof/>
                <w:sz w:val="22"/>
                <w:szCs w:val="22"/>
              </w:rPr>
              <w:drawing>
                <wp:inline distT="0" distB="0" distL="0" distR="0" wp14:anchorId="6753E794" wp14:editId="3EF00954">
                  <wp:extent cx="2898648" cy="1545336"/>
                  <wp:effectExtent l="0" t="0" r="0" b="0"/>
                  <wp:docPr id="492523056" name="Picture 492523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8648" cy="1545336"/>
                          </a:xfrm>
                          <a:prstGeom prst="rect">
                            <a:avLst/>
                          </a:prstGeom>
                          <a:noFill/>
                          <a:ln>
                            <a:noFill/>
                          </a:ln>
                        </pic:spPr>
                      </pic:pic>
                    </a:graphicData>
                  </a:graphic>
                </wp:inline>
              </w:drawing>
            </w:r>
          </w:p>
        </w:tc>
      </w:tr>
      <w:tr w:rsidR="001564FD" w14:paraId="765322B0" w14:textId="77777777" w:rsidTr="00FA4426">
        <w:tc>
          <w:tcPr>
            <w:tcW w:w="4770" w:type="dxa"/>
          </w:tcPr>
          <w:p w14:paraId="6AB40924" w14:textId="77777777" w:rsidR="00E841FC" w:rsidRDefault="00E841FC" w:rsidP="00DC7E33">
            <w:pPr>
              <w:pStyle w:val="BodyTextIndent"/>
              <w:ind w:firstLine="0"/>
              <w:jc w:val="center"/>
              <w:rPr>
                <w:sz w:val="22"/>
                <w:szCs w:val="22"/>
              </w:rPr>
            </w:pPr>
          </w:p>
          <w:p w14:paraId="114F05AA" w14:textId="77777777" w:rsidR="00E841FC" w:rsidRDefault="00E841FC" w:rsidP="00DC7E33">
            <w:pPr>
              <w:pStyle w:val="BodyTextIndent"/>
              <w:ind w:firstLine="0"/>
              <w:jc w:val="center"/>
              <w:rPr>
                <w:sz w:val="22"/>
                <w:szCs w:val="22"/>
              </w:rPr>
            </w:pPr>
          </w:p>
          <w:p w14:paraId="4BCB508E" w14:textId="77777777" w:rsidR="00E841FC" w:rsidRDefault="00E841FC" w:rsidP="00DC7E33">
            <w:pPr>
              <w:pStyle w:val="BodyTextIndent"/>
              <w:ind w:firstLine="0"/>
              <w:jc w:val="center"/>
              <w:rPr>
                <w:sz w:val="22"/>
                <w:szCs w:val="22"/>
              </w:rPr>
            </w:pPr>
          </w:p>
          <w:p w14:paraId="5390FA7A" w14:textId="77777777" w:rsidR="00E841FC" w:rsidRDefault="00E841FC" w:rsidP="00DC7E33">
            <w:pPr>
              <w:pStyle w:val="BodyTextIndent"/>
              <w:ind w:firstLine="0"/>
              <w:jc w:val="center"/>
              <w:rPr>
                <w:sz w:val="22"/>
                <w:szCs w:val="22"/>
              </w:rPr>
            </w:pPr>
          </w:p>
          <w:p w14:paraId="40A950FF" w14:textId="77777777" w:rsidR="00E841FC" w:rsidRDefault="00E841FC" w:rsidP="00DC7E33">
            <w:pPr>
              <w:pStyle w:val="BodyTextIndent"/>
              <w:ind w:firstLine="0"/>
              <w:jc w:val="center"/>
              <w:rPr>
                <w:sz w:val="22"/>
                <w:szCs w:val="22"/>
              </w:rPr>
            </w:pPr>
          </w:p>
          <w:p w14:paraId="06453769" w14:textId="77777777" w:rsidR="00E841FC" w:rsidRDefault="00E841FC" w:rsidP="00DC7E33">
            <w:pPr>
              <w:pStyle w:val="BodyTextIndent"/>
              <w:ind w:firstLine="0"/>
              <w:jc w:val="center"/>
              <w:rPr>
                <w:sz w:val="22"/>
                <w:szCs w:val="22"/>
              </w:rPr>
            </w:pPr>
          </w:p>
          <w:p w14:paraId="3AFA720A" w14:textId="77777777" w:rsidR="00E841FC" w:rsidRDefault="00E841FC" w:rsidP="00DC7E33">
            <w:pPr>
              <w:pStyle w:val="BodyTextIndent"/>
              <w:ind w:firstLine="0"/>
              <w:jc w:val="center"/>
              <w:rPr>
                <w:sz w:val="22"/>
                <w:szCs w:val="22"/>
              </w:rPr>
            </w:pPr>
          </w:p>
          <w:p w14:paraId="522DD814" w14:textId="77777777" w:rsidR="00E841FC" w:rsidRDefault="00E841FC" w:rsidP="00DC7E33">
            <w:pPr>
              <w:pStyle w:val="BodyTextIndent"/>
              <w:ind w:firstLine="0"/>
              <w:jc w:val="center"/>
              <w:rPr>
                <w:sz w:val="22"/>
                <w:szCs w:val="22"/>
              </w:rPr>
            </w:pPr>
          </w:p>
          <w:p w14:paraId="7C4ECE74" w14:textId="34F5BBAE" w:rsidR="001564FD" w:rsidRPr="00545E20" w:rsidRDefault="001564FD" w:rsidP="00DC7E33">
            <w:pPr>
              <w:pStyle w:val="BodyTextIndent"/>
              <w:ind w:firstLine="0"/>
              <w:jc w:val="center"/>
              <w:rPr>
                <w:noProof/>
                <w:sz w:val="22"/>
                <w:szCs w:val="22"/>
              </w:rPr>
            </w:pPr>
            <w:r>
              <w:rPr>
                <w:sz w:val="22"/>
                <w:szCs w:val="22"/>
              </w:rPr>
              <w:lastRenderedPageBreak/>
              <w:t>(b)</w:t>
            </w:r>
          </w:p>
        </w:tc>
      </w:tr>
      <w:tr w:rsidR="00186DDC" w14:paraId="4D9F75C1" w14:textId="77777777" w:rsidTr="00FA4426">
        <w:tc>
          <w:tcPr>
            <w:tcW w:w="4770" w:type="dxa"/>
          </w:tcPr>
          <w:p w14:paraId="390D4867" w14:textId="77777777" w:rsidR="00186DDC" w:rsidRDefault="00186DDC" w:rsidP="003741F0">
            <w:pPr>
              <w:pStyle w:val="BodyTextIndent"/>
              <w:ind w:firstLine="0"/>
              <w:rPr>
                <w:sz w:val="22"/>
                <w:szCs w:val="22"/>
              </w:rPr>
            </w:pPr>
            <w:r w:rsidRPr="00545E20">
              <w:rPr>
                <w:noProof/>
                <w:sz w:val="22"/>
                <w:szCs w:val="22"/>
              </w:rPr>
              <w:lastRenderedPageBreak/>
              <w:drawing>
                <wp:inline distT="0" distB="0" distL="0" distR="0" wp14:anchorId="14239908" wp14:editId="0EFAD96D">
                  <wp:extent cx="2898648" cy="1545336"/>
                  <wp:effectExtent l="0" t="0" r="0" b="0"/>
                  <wp:docPr id="217694686" name="Picture 217694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8648" cy="1545336"/>
                          </a:xfrm>
                          <a:prstGeom prst="rect">
                            <a:avLst/>
                          </a:prstGeom>
                          <a:noFill/>
                          <a:ln>
                            <a:noFill/>
                          </a:ln>
                        </pic:spPr>
                      </pic:pic>
                    </a:graphicData>
                  </a:graphic>
                </wp:inline>
              </w:drawing>
            </w:r>
          </w:p>
        </w:tc>
      </w:tr>
      <w:tr w:rsidR="001564FD" w14:paraId="5DC33E72" w14:textId="77777777" w:rsidTr="00FA4426">
        <w:tc>
          <w:tcPr>
            <w:tcW w:w="4770" w:type="dxa"/>
          </w:tcPr>
          <w:p w14:paraId="6DA1F60F" w14:textId="77777777" w:rsidR="00C9105A" w:rsidRDefault="00C9105A" w:rsidP="003741F0">
            <w:pPr>
              <w:pStyle w:val="BodyTextIndent"/>
              <w:ind w:firstLine="0"/>
              <w:jc w:val="center"/>
              <w:rPr>
                <w:sz w:val="22"/>
                <w:szCs w:val="22"/>
              </w:rPr>
            </w:pPr>
          </w:p>
          <w:p w14:paraId="71F4F761" w14:textId="34CD78AA" w:rsidR="001564FD" w:rsidRDefault="001564FD" w:rsidP="003741F0">
            <w:pPr>
              <w:pStyle w:val="BodyTextIndent"/>
              <w:ind w:firstLine="0"/>
              <w:jc w:val="center"/>
              <w:rPr>
                <w:sz w:val="22"/>
                <w:szCs w:val="22"/>
              </w:rPr>
            </w:pPr>
            <w:r>
              <w:rPr>
                <w:sz w:val="22"/>
                <w:szCs w:val="22"/>
              </w:rPr>
              <w:t>(c)</w:t>
            </w:r>
          </w:p>
        </w:tc>
      </w:tr>
      <w:tr w:rsidR="001564FD" w14:paraId="5406337A" w14:textId="77777777" w:rsidTr="00FA4426">
        <w:tc>
          <w:tcPr>
            <w:tcW w:w="4770" w:type="dxa"/>
          </w:tcPr>
          <w:p w14:paraId="6CFD7F36" w14:textId="20233561" w:rsidR="001564FD" w:rsidRDefault="001564FD" w:rsidP="003741F0">
            <w:pPr>
              <w:pStyle w:val="BodyTextIndent"/>
              <w:ind w:firstLine="0"/>
              <w:jc w:val="center"/>
              <w:rPr>
                <w:sz w:val="22"/>
                <w:szCs w:val="22"/>
              </w:rPr>
            </w:pPr>
            <w:r w:rsidRPr="001E7FDD">
              <w:rPr>
                <w:noProof/>
                <w:sz w:val="22"/>
                <w:szCs w:val="22"/>
              </w:rPr>
              <w:drawing>
                <wp:inline distT="0" distB="0" distL="0" distR="0" wp14:anchorId="5C6582D6" wp14:editId="4085C61C">
                  <wp:extent cx="2898648" cy="1545336"/>
                  <wp:effectExtent l="0" t="0" r="0" b="0"/>
                  <wp:docPr id="389278393" name="Picture 389278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98648" cy="1545336"/>
                          </a:xfrm>
                          <a:prstGeom prst="rect">
                            <a:avLst/>
                          </a:prstGeom>
                          <a:noFill/>
                          <a:ln>
                            <a:noFill/>
                          </a:ln>
                        </pic:spPr>
                      </pic:pic>
                    </a:graphicData>
                  </a:graphic>
                </wp:inline>
              </w:drawing>
            </w:r>
            <w:r>
              <w:rPr>
                <w:sz w:val="22"/>
                <w:szCs w:val="22"/>
              </w:rPr>
              <w:t xml:space="preserve"> (d)</w:t>
            </w:r>
          </w:p>
        </w:tc>
      </w:tr>
      <w:tr w:rsidR="00186DDC" w14:paraId="23048D74" w14:textId="77777777" w:rsidTr="00FA4426">
        <w:tc>
          <w:tcPr>
            <w:tcW w:w="4770" w:type="dxa"/>
          </w:tcPr>
          <w:p w14:paraId="3D4534BA" w14:textId="77777777" w:rsidR="00186DDC" w:rsidRDefault="00186DDC" w:rsidP="003741F0">
            <w:pPr>
              <w:pStyle w:val="BodyTextIndent"/>
              <w:ind w:firstLine="0"/>
              <w:jc w:val="center"/>
              <w:rPr>
                <w:sz w:val="22"/>
                <w:szCs w:val="22"/>
              </w:rPr>
            </w:pPr>
            <w:r w:rsidRPr="00D835F1">
              <w:rPr>
                <w:noProof/>
                <w:sz w:val="22"/>
                <w:szCs w:val="22"/>
              </w:rPr>
              <w:drawing>
                <wp:inline distT="0" distB="0" distL="0" distR="0" wp14:anchorId="6ABD08D3" wp14:editId="66C68C12">
                  <wp:extent cx="2898648" cy="1545336"/>
                  <wp:effectExtent l="0" t="0" r="0" b="0"/>
                  <wp:docPr id="448194055" name="Picture 4481940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98648" cy="1545336"/>
                          </a:xfrm>
                          <a:prstGeom prst="rect">
                            <a:avLst/>
                          </a:prstGeom>
                          <a:noFill/>
                          <a:ln>
                            <a:noFill/>
                          </a:ln>
                        </pic:spPr>
                      </pic:pic>
                    </a:graphicData>
                  </a:graphic>
                </wp:inline>
              </w:drawing>
            </w:r>
          </w:p>
        </w:tc>
      </w:tr>
      <w:tr w:rsidR="001564FD" w14:paraId="566627B8" w14:textId="77777777" w:rsidTr="00FA4426">
        <w:tc>
          <w:tcPr>
            <w:tcW w:w="4770" w:type="dxa"/>
          </w:tcPr>
          <w:p w14:paraId="2DE21C58" w14:textId="01C81A87" w:rsidR="001564FD" w:rsidRDefault="001564FD" w:rsidP="003741F0">
            <w:pPr>
              <w:pStyle w:val="BodyTextIndent"/>
              <w:ind w:firstLine="0"/>
              <w:jc w:val="center"/>
              <w:rPr>
                <w:sz w:val="22"/>
                <w:szCs w:val="22"/>
              </w:rPr>
            </w:pPr>
            <w:r>
              <w:rPr>
                <w:sz w:val="22"/>
                <w:szCs w:val="22"/>
              </w:rPr>
              <w:t>(e)</w:t>
            </w:r>
          </w:p>
        </w:tc>
      </w:tr>
      <w:tr w:rsidR="00186DDC" w14:paraId="483AEA70" w14:textId="77777777" w:rsidTr="00FA4426">
        <w:tc>
          <w:tcPr>
            <w:tcW w:w="4770" w:type="dxa"/>
          </w:tcPr>
          <w:p w14:paraId="0B4A9B77" w14:textId="77777777" w:rsidR="00186DDC" w:rsidRDefault="00186DDC" w:rsidP="003741F0">
            <w:pPr>
              <w:pStyle w:val="BodyTextIndent"/>
              <w:ind w:firstLine="0"/>
              <w:jc w:val="center"/>
              <w:rPr>
                <w:sz w:val="22"/>
                <w:szCs w:val="22"/>
              </w:rPr>
            </w:pPr>
            <w:r w:rsidRPr="00D835F1">
              <w:rPr>
                <w:noProof/>
                <w:sz w:val="22"/>
                <w:szCs w:val="22"/>
              </w:rPr>
              <w:drawing>
                <wp:inline distT="0" distB="0" distL="0" distR="0" wp14:anchorId="6EDF9497" wp14:editId="7DD9B417">
                  <wp:extent cx="2898648" cy="1545336"/>
                  <wp:effectExtent l="0" t="0" r="0" b="0"/>
                  <wp:docPr id="1623785905" name="Picture 1623785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98648" cy="1545336"/>
                          </a:xfrm>
                          <a:prstGeom prst="rect">
                            <a:avLst/>
                          </a:prstGeom>
                          <a:noFill/>
                          <a:ln>
                            <a:noFill/>
                          </a:ln>
                        </pic:spPr>
                      </pic:pic>
                    </a:graphicData>
                  </a:graphic>
                </wp:inline>
              </w:drawing>
            </w:r>
          </w:p>
        </w:tc>
      </w:tr>
      <w:tr w:rsidR="00186DDC" w14:paraId="075A8EB8" w14:textId="77777777" w:rsidTr="00FA4426">
        <w:tc>
          <w:tcPr>
            <w:tcW w:w="4770" w:type="dxa"/>
          </w:tcPr>
          <w:p w14:paraId="368E2CD4" w14:textId="77777777" w:rsidR="00186DDC" w:rsidRPr="001C459B" w:rsidRDefault="00186DDC" w:rsidP="003741F0">
            <w:pPr>
              <w:pStyle w:val="Caption"/>
              <w:jc w:val="center"/>
              <w:rPr>
                <w:b w:val="0"/>
                <w:bCs/>
                <w:i/>
                <w:iCs/>
              </w:rPr>
            </w:pPr>
            <w:r w:rsidRPr="00401092">
              <w:rPr>
                <w:b w:val="0"/>
                <w:bCs/>
                <w:i/>
                <w:iCs/>
              </w:rPr>
              <w:t xml:space="preserve">Figure </w:t>
            </w:r>
            <w:r>
              <w:rPr>
                <w:b w:val="0"/>
                <w:bCs/>
                <w:i/>
                <w:iCs/>
              </w:rPr>
              <w:t>6</w:t>
            </w:r>
            <w:r w:rsidRPr="00401092">
              <w:rPr>
                <w:b w:val="0"/>
                <w:bCs/>
                <w:i/>
                <w:iCs/>
              </w:rPr>
              <w:t xml:space="preserve">. </w:t>
            </w:r>
            <w:r>
              <w:rPr>
                <w:b w:val="0"/>
                <w:bCs/>
                <w:i/>
                <w:iCs/>
              </w:rPr>
              <w:t>Effect of MVSG on</w:t>
            </w:r>
            <w:r w:rsidRPr="001C6334">
              <w:rPr>
                <w:b w:val="0"/>
                <w:bCs/>
                <w:i/>
                <w:iCs/>
              </w:rPr>
              <w:t xml:space="preserve"> local parameters</w:t>
            </w:r>
            <w:r>
              <w:rPr>
                <w:b w:val="0"/>
                <w:bCs/>
                <w:i/>
                <w:iCs/>
              </w:rPr>
              <w:t xml:space="preserve"> at flow condition (</w:t>
            </w:r>
            <w:r w:rsidRPr="00BC4314">
              <w:rPr>
                <w:rFonts w:asciiTheme="majorHAnsi" w:hAnsiTheme="majorHAnsi"/>
                <w:b w:val="0"/>
                <w:bCs/>
                <w:i/>
                <w:iCs/>
              </w:rPr>
              <w:t>J</w:t>
            </w:r>
            <w:r w:rsidRPr="00BC4314">
              <w:rPr>
                <w:rFonts w:asciiTheme="majorHAnsi" w:hAnsiTheme="majorHAnsi"/>
                <w:b w:val="0"/>
                <w:bCs/>
                <w:i/>
                <w:iCs/>
                <w:vertAlign w:val="subscript"/>
              </w:rPr>
              <w:t>f</w:t>
            </w:r>
            <w:r>
              <w:rPr>
                <w:b w:val="0"/>
                <w:bCs/>
                <w:i/>
                <w:iCs/>
              </w:rPr>
              <w:t xml:space="preserve">=0.6 m/s, </w:t>
            </w:r>
            <w:r w:rsidRPr="00BC4314">
              <w:rPr>
                <w:rFonts w:asciiTheme="majorHAnsi" w:hAnsiTheme="majorHAnsi"/>
                <w:b w:val="0"/>
                <w:bCs/>
                <w:i/>
                <w:iCs/>
              </w:rPr>
              <w:t>J</w:t>
            </w:r>
            <w:r w:rsidRPr="00BC4314">
              <w:rPr>
                <w:rFonts w:asciiTheme="majorHAnsi" w:hAnsiTheme="majorHAnsi"/>
                <w:b w:val="0"/>
                <w:bCs/>
                <w:i/>
                <w:iCs/>
                <w:vertAlign w:val="subscript"/>
              </w:rPr>
              <w:t>g</w:t>
            </w:r>
            <w:r>
              <w:rPr>
                <w:b w:val="0"/>
                <w:bCs/>
                <w:i/>
                <w:iCs/>
              </w:rPr>
              <w:t>=0.043 m/s)</w:t>
            </w:r>
          </w:p>
        </w:tc>
      </w:tr>
    </w:tbl>
    <w:p w14:paraId="148C65A4" w14:textId="27A83624" w:rsidR="001A7378" w:rsidRDefault="001A7378" w:rsidP="001A7378">
      <w:pPr>
        <w:pStyle w:val="AbstractClauseTitle"/>
        <w:jc w:val="left"/>
        <w:rPr>
          <w:rFonts w:ascii="Times New Roman" w:hAnsi="Times New Roman"/>
          <w:caps w:val="0"/>
          <w:sz w:val="22"/>
          <w:szCs w:val="22"/>
        </w:rPr>
      </w:pPr>
      <w:r>
        <w:rPr>
          <w:rFonts w:ascii="Times New Roman" w:hAnsi="Times New Roman"/>
          <w:sz w:val="22"/>
          <w:szCs w:val="22"/>
        </w:rPr>
        <w:t>V</w:t>
      </w:r>
      <w:r w:rsidRPr="00BB7497">
        <w:rPr>
          <w:rFonts w:ascii="Times New Roman" w:hAnsi="Times New Roman"/>
          <w:sz w:val="22"/>
          <w:szCs w:val="22"/>
        </w:rPr>
        <w:t xml:space="preserve">. </w:t>
      </w:r>
      <w:r w:rsidR="00BE2671">
        <w:rPr>
          <w:rFonts w:ascii="Times New Roman" w:hAnsi="Times New Roman"/>
          <w:caps w:val="0"/>
          <w:sz w:val="22"/>
          <w:szCs w:val="22"/>
        </w:rPr>
        <w:t>Conclusion</w:t>
      </w:r>
      <w:r w:rsidR="00F45F1D">
        <w:rPr>
          <w:rFonts w:ascii="Times New Roman" w:hAnsi="Times New Roman"/>
          <w:caps w:val="0"/>
          <w:sz w:val="22"/>
          <w:szCs w:val="22"/>
        </w:rPr>
        <w:t>s</w:t>
      </w:r>
    </w:p>
    <w:p w14:paraId="5A20E773" w14:textId="77777777" w:rsidR="00BE2671" w:rsidRDefault="00BE2671" w:rsidP="00BE2671">
      <w:pPr>
        <w:pStyle w:val="BodyTextIndent"/>
      </w:pPr>
    </w:p>
    <w:p w14:paraId="451F00EE" w14:textId="3EE60C07" w:rsidR="00557DC3" w:rsidRDefault="00557DC3" w:rsidP="00BE2671">
      <w:pPr>
        <w:pStyle w:val="BodyTextIndent"/>
      </w:pPr>
      <w:r w:rsidRPr="00FA349A">
        <w:rPr>
          <w:sz w:val="22"/>
          <w:szCs w:val="22"/>
        </w:rPr>
        <w:t>This study conducted an examination of the</w:t>
      </w:r>
      <w:r w:rsidR="00C23D8E" w:rsidRPr="00FA349A">
        <w:rPr>
          <w:sz w:val="22"/>
          <w:szCs w:val="22"/>
        </w:rPr>
        <w:t xml:space="preserve"> local two-phase flow characteristics in a 5x5 rod bundle with a spacer grid</w:t>
      </w:r>
      <w:r w:rsidR="00267C32" w:rsidRPr="00FA349A">
        <w:rPr>
          <w:sz w:val="22"/>
          <w:szCs w:val="22"/>
        </w:rPr>
        <w:t xml:space="preserve"> using a four-point optical fiber </w:t>
      </w:r>
      <w:r w:rsidR="004B52C4" w:rsidRPr="00FA349A">
        <w:rPr>
          <w:sz w:val="22"/>
          <w:szCs w:val="22"/>
        </w:rPr>
        <w:t>probe</w:t>
      </w:r>
      <w:r w:rsidR="004B52C4" w:rsidRPr="00FA349A">
        <w:rPr>
          <w:rFonts w:hint="cs"/>
          <w:sz w:val="22"/>
          <w:szCs w:val="22"/>
          <w:rtl/>
        </w:rPr>
        <w:t xml:space="preserve"> </w:t>
      </w:r>
      <w:r w:rsidR="004B52C4" w:rsidRPr="00FA349A">
        <w:rPr>
          <w:sz w:val="22"/>
          <w:szCs w:val="22"/>
        </w:rPr>
        <w:t>to</w:t>
      </w:r>
      <w:r w:rsidR="00707386" w:rsidRPr="00FA349A">
        <w:rPr>
          <w:sz w:val="22"/>
          <w:szCs w:val="22"/>
        </w:rPr>
        <w:t xml:space="preserve"> measure various bubble parameters.</w:t>
      </w:r>
      <w:r w:rsidR="004B52C4" w:rsidRPr="00FA349A">
        <w:rPr>
          <w:sz w:val="22"/>
          <w:szCs w:val="22"/>
        </w:rPr>
        <w:t xml:space="preserve"> The primary conclusions derived from this investigation can be described as follows:</w:t>
      </w:r>
    </w:p>
    <w:p w14:paraId="685C5CC3" w14:textId="511DF7FC" w:rsidR="009641E2" w:rsidRPr="00FA349A" w:rsidRDefault="009641E2" w:rsidP="00F45F1D">
      <w:pPr>
        <w:pStyle w:val="BodyTextIndent"/>
        <w:numPr>
          <w:ilvl w:val="0"/>
          <w:numId w:val="3"/>
        </w:numPr>
        <w:spacing w:after="240"/>
        <w:ind w:left="360"/>
        <w:rPr>
          <w:sz w:val="22"/>
          <w:szCs w:val="22"/>
        </w:rPr>
      </w:pPr>
      <w:r w:rsidRPr="00FA349A">
        <w:rPr>
          <w:sz w:val="22"/>
          <w:szCs w:val="22"/>
        </w:rPr>
        <w:t>The</w:t>
      </w:r>
      <w:r w:rsidR="00670B3B" w:rsidRPr="00FA349A">
        <w:rPr>
          <w:sz w:val="22"/>
          <w:szCs w:val="22"/>
        </w:rPr>
        <w:t xml:space="preserve"> measured</w:t>
      </w:r>
      <w:r w:rsidRPr="00FA349A">
        <w:rPr>
          <w:sz w:val="22"/>
          <w:szCs w:val="22"/>
        </w:rPr>
        <w:t xml:space="preserve"> local void fraction distribution exhibited </w:t>
      </w:r>
      <w:r w:rsidR="005308E4" w:rsidRPr="00FA349A">
        <w:rPr>
          <w:sz w:val="22"/>
          <w:szCs w:val="22"/>
        </w:rPr>
        <w:t xml:space="preserve">the </w:t>
      </w:r>
      <w:r w:rsidRPr="00FA349A">
        <w:rPr>
          <w:sz w:val="22"/>
          <w:szCs w:val="22"/>
        </w:rPr>
        <w:t>profiles based on the flow conditions, transitioning from core-</w:t>
      </w:r>
      <w:r w:rsidR="005C775B" w:rsidRPr="00FA349A">
        <w:rPr>
          <w:sz w:val="22"/>
          <w:szCs w:val="22"/>
        </w:rPr>
        <w:t>peaking,</w:t>
      </w:r>
      <w:r w:rsidR="00270059" w:rsidRPr="00FA349A">
        <w:rPr>
          <w:sz w:val="22"/>
          <w:szCs w:val="22"/>
        </w:rPr>
        <w:t xml:space="preserve"> and</w:t>
      </w:r>
      <w:r w:rsidRPr="00FA349A">
        <w:rPr>
          <w:sz w:val="22"/>
          <w:szCs w:val="22"/>
        </w:rPr>
        <w:t xml:space="preserve"> </w:t>
      </w:r>
      <w:r w:rsidR="00006752" w:rsidRPr="00FA349A">
        <w:rPr>
          <w:sz w:val="22"/>
          <w:szCs w:val="22"/>
        </w:rPr>
        <w:t>passing to transition</w:t>
      </w:r>
      <w:r w:rsidR="00430792" w:rsidRPr="00FA349A">
        <w:rPr>
          <w:sz w:val="22"/>
          <w:szCs w:val="22"/>
        </w:rPr>
        <w:t xml:space="preserve"> pattern</w:t>
      </w:r>
      <w:r w:rsidR="00006752" w:rsidRPr="00FA349A">
        <w:rPr>
          <w:sz w:val="22"/>
          <w:szCs w:val="22"/>
        </w:rPr>
        <w:t xml:space="preserve"> </w:t>
      </w:r>
      <w:r w:rsidRPr="00FA349A">
        <w:rPr>
          <w:sz w:val="22"/>
          <w:szCs w:val="22"/>
        </w:rPr>
        <w:t>to wall-peaking as flow conditions increased.</w:t>
      </w:r>
    </w:p>
    <w:p w14:paraId="2238500F" w14:textId="079964AE" w:rsidR="00FD36DC" w:rsidRPr="00FA349A" w:rsidRDefault="00FD36DC" w:rsidP="00F45F1D">
      <w:pPr>
        <w:pStyle w:val="BodyTextIndent"/>
        <w:numPr>
          <w:ilvl w:val="0"/>
          <w:numId w:val="3"/>
        </w:numPr>
        <w:spacing w:after="240"/>
        <w:ind w:left="360"/>
        <w:rPr>
          <w:sz w:val="22"/>
          <w:szCs w:val="22"/>
        </w:rPr>
      </w:pPr>
      <w:r w:rsidRPr="00FA349A">
        <w:rPr>
          <w:sz w:val="22"/>
          <w:szCs w:val="22"/>
        </w:rPr>
        <w:t xml:space="preserve">The bubble passage frequency was found to </w:t>
      </w:r>
      <w:r w:rsidR="00654A9B" w:rsidRPr="00FA349A">
        <w:rPr>
          <w:sz w:val="22"/>
          <w:szCs w:val="22"/>
        </w:rPr>
        <w:t>depend on</w:t>
      </w:r>
      <w:r w:rsidRPr="00FA349A">
        <w:rPr>
          <w:sz w:val="22"/>
          <w:szCs w:val="22"/>
        </w:rPr>
        <w:t xml:space="preserve"> the behavior of the void fraction and was influenced by various factors such as bubble</w:t>
      </w:r>
      <w:r w:rsidR="003D5208" w:rsidRPr="00FA349A">
        <w:rPr>
          <w:sz w:val="22"/>
          <w:szCs w:val="22"/>
        </w:rPr>
        <w:t>s</w:t>
      </w:r>
      <w:r w:rsidRPr="00FA349A">
        <w:rPr>
          <w:sz w:val="22"/>
          <w:szCs w:val="22"/>
        </w:rPr>
        <w:t xml:space="preserve"> size and </w:t>
      </w:r>
      <w:r w:rsidR="003D5208" w:rsidRPr="00FA349A">
        <w:rPr>
          <w:sz w:val="22"/>
          <w:szCs w:val="22"/>
        </w:rPr>
        <w:t xml:space="preserve">bubbles </w:t>
      </w:r>
      <w:r w:rsidRPr="00FA349A">
        <w:rPr>
          <w:sz w:val="22"/>
          <w:szCs w:val="22"/>
        </w:rPr>
        <w:t>velocity</w:t>
      </w:r>
      <w:r w:rsidR="003D5208" w:rsidRPr="00FA349A">
        <w:rPr>
          <w:sz w:val="22"/>
          <w:szCs w:val="22"/>
        </w:rPr>
        <w:t>.</w:t>
      </w:r>
    </w:p>
    <w:p w14:paraId="6ADE3350" w14:textId="2DE3E80D" w:rsidR="00BA7D11" w:rsidRPr="00FA349A" w:rsidRDefault="00BA0F14" w:rsidP="00F45F1D">
      <w:pPr>
        <w:pStyle w:val="BodyTextIndent"/>
        <w:numPr>
          <w:ilvl w:val="0"/>
          <w:numId w:val="3"/>
        </w:numPr>
        <w:spacing w:after="240"/>
        <w:ind w:left="360"/>
        <w:rPr>
          <w:sz w:val="22"/>
          <w:szCs w:val="22"/>
        </w:rPr>
      </w:pPr>
      <w:r w:rsidRPr="00FA349A">
        <w:rPr>
          <w:sz w:val="22"/>
          <w:szCs w:val="22"/>
        </w:rPr>
        <w:t xml:space="preserve">The spacer grid </w:t>
      </w:r>
      <w:r w:rsidR="002440B4" w:rsidRPr="00FA349A">
        <w:rPr>
          <w:sz w:val="22"/>
          <w:szCs w:val="22"/>
        </w:rPr>
        <w:t>caus</w:t>
      </w:r>
      <w:r w:rsidR="00F23B18" w:rsidRPr="00FA349A">
        <w:rPr>
          <w:sz w:val="22"/>
          <w:szCs w:val="22"/>
        </w:rPr>
        <w:t>ed</w:t>
      </w:r>
      <w:r w:rsidRPr="00FA349A">
        <w:rPr>
          <w:sz w:val="22"/>
          <w:szCs w:val="22"/>
        </w:rPr>
        <w:t xml:space="preserve"> considerable changes in local parameters like void fraction, interfacial area concentration, and bubble velocity, particularly in its downstream wake region.</w:t>
      </w:r>
    </w:p>
    <w:p w14:paraId="691CE50F" w14:textId="4A7A8955" w:rsidR="001A7378" w:rsidRDefault="00BA7D11" w:rsidP="00F45F1D">
      <w:pPr>
        <w:pStyle w:val="BodyTextIndent"/>
        <w:numPr>
          <w:ilvl w:val="0"/>
          <w:numId w:val="3"/>
        </w:numPr>
        <w:spacing w:after="240"/>
        <w:ind w:left="360"/>
        <w:rPr>
          <w:sz w:val="22"/>
          <w:szCs w:val="22"/>
        </w:rPr>
      </w:pPr>
      <w:r w:rsidRPr="00BA7D11">
        <w:rPr>
          <w:sz w:val="22"/>
          <w:szCs w:val="22"/>
        </w:rPr>
        <w:t>These findings provide valuable insights for future work on optimizing spacer grid designs and advancing the understanding of two-phase flow characteristics in nuclear fuel assemblies.</w:t>
      </w:r>
    </w:p>
    <w:p w14:paraId="5EFC1847" w14:textId="77777777" w:rsidR="00B53DEA" w:rsidRDefault="00B53DEA" w:rsidP="00B53DEA">
      <w:pPr>
        <w:pStyle w:val="AcknowledgmentsClauseTitle"/>
        <w:jc w:val="left"/>
        <w:rPr>
          <w:rFonts w:ascii="Times New Roman" w:hAnsi="Times New Roman"/>
          <w:caps w:val="0"/>
          <w:sz w:val="22"/>
          <w:szCs w:val="22"/>
        </w:rPr>
      </w:pPr>
      <w:r>
        <w:rPr>
          <w:rFonts w:ascii="Times New Roman" w:hAnsi="Times New Roman"/>
          <w:caps w:val="0"/>
          <w:sz w:val="22"/>
          <w:szCs w:val="22"/>
        </w:rPr>
        <w:t>Acknowledgments</w:t>
      </w:r>
    </w:p>
    <w:p w14:paraId="60A4E0BA" w14:textId="77777777" w:rsidR="006B4992" w:rsidRPr="006B4992" w:rsidRDefault="006B4992" w:rsidP="006B4992">
      <w:pPr>
        <w:pStyle w:val="BodyTextIndent"/>
      </w:pPr>
    </w:p>
    <w:p w14:paraId="78056468" w14:textId="5143A2B9" w:rsidR="00B53DEA" w:rsidRDefault="00EE0CFB" w:rsidP="00FB3311">
      <w:pPr>
        <w:pStyle w:val="BodyTextIndent"/>
        <w:spacing w:after="240"/>
        <w:rPr>
          <w:sz w:val="22"/>
          <w:szCs w:val="22"/>
        </w:rPr>
      </w:pPr>
      <w:r>
        <w:rPr>
          <w:sz w:val="22"/>
          <w:szCs w:val="22"/>
        </w:rPr>
        <w:t xml:space="preserve">The author would like to thank </w:t>
      </w:r>
      <w:r w:rsidR="00101033">
        <w:rPr>
          <w:sz w:val="22"/>
          <w:szCs w:val="22"/>
        </w:rPr>
        <w:t>King Abdulaziz city for Science and Technology (KACST), Saudi Arabia Culture Mission (</w:t>
      </w:r>
      <w:r w:rsidR="00A735C9">
        <w:rPr>
          <w:sz w:val="22"/>
          <w:szCs w:val="22"/>
        </w:rPr>
        <w:t xml:space="preserve">SACM) and Ministry of Education (MOE) for the </w:t>
      </w:r>
      <w:r w:rsidR="00E3727F">
        <w:rPr>
          <w:sz w:val="22"/>
          <w:szCs w:val="22"/>
        </w:rPr>
        <w:t xml:space="preserve">funding </w:t>
      </w:r>
      <w:r w:rsidR="00A735C9">
        <w:rPr>
          <w:sz w:val="22"/>
          <w:szCs w:val="22"/>
        </w:rPr>
        <w:t xml:space="preserve">support </w:t>
      </w:r>
      <w:r w:rsidR="001A5FF4">
        <w:rPr>
          <w:sz w:val="22"/>
          <w:szCs w:val="22"/>
        </w:rPr>
        <w:t>during his study.</w:t>
      </w:r>
    </w:p>
    <w:p w14:paraId="42F3348D" w14:textId="28472041" w:rsidR="002C0405" w:rsidRDefault="002C0405" w:rsidP="002C0405">
      <w:pPr>
        <w:pStyle w:val="AcknowledgmentsClauseTitle"/>
        <w:jc w:val="left"/>
        <w:rPr>
          <w:rFonts w:ascii="Times New Roman" w:hAnsi="Times New Roman"/>
          <w:caps w:val="0"/>
          <w:sz w:val="22"/>
          <w:szCs w:val="22"/>
        </w:rPr>
      </w:pPr>
      <w:r w:rsidRPr="002C0405">
        <w:rPr>
          <w:rFonts w:ascii="Times New Roman" w:hAnsi="Times New Roman"/>
          <w:caps w:val="0"/>
          <w:sz w:val="22"/>
          <w:szCs w:val="22"/>
        </w:rPr>
        <w:t>Nomenclature</w:t>
      </w:r>
    </w:p>
    <w:p w14:paraId="2DDFAD1C" w14:textId="77777777" w:rsidR="002C0405" w:rsidRDefault="002C0405" w:rsidP="002C0405">
      <w:pPr>
        <w:pStyle w:val="BodyTextInden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3775"/>
      </w:tblGrid>
      <w:tr w:rsidR="00C37639" w14:paraId="4D8A7AED" w14:textId="77777777" w:rsidTr="00860AF7">
        <w:tc>
          <w:tcPr>
            <w:tcW w:w="985" w:type="dxa"/>
          </w:tcPr>
          <w:p w14:paraId="79273C30" w14:textId="5BD1D8B6" w:rsidR="00C37639" w:rsidRPr="00F17A8E" w:rsidRDefault="00C37639" w:rsidP="00C37639">
            <w:pPr>
              <w:pStyle w:val="BodyTextIndent"/>
              <w:ind w:firstLine="0"/>
            </w:pPr>
            <w:r w:rsidRPr="00F17A8E">
              <w:t>PWSMR</w:t>
            </w:r>
          </w:p>
        </w:tc>
        <w:tc>
          <w:tcPr>
            <w:tcW w:w="3775" w:type="dxa"/>
          </w:tcPr>
          <w:p w14:paraId="713D08E0" w14:textId="1C73957C" w:rsidR="00C37639" w:rsidRPr="00F17A8E" w:rsidRDefault="00C37639" w:rsidP="00C37639">
            <w:pPr>
              <w:pStyle w:val="BodyTextIndent"/>
              <w:ind w:firstLine="0"/>
            </w:pPr>
            <w:r w:rsidRPr="00F17A8E">
              <w:t>Pressurized Water Small Modular Reactor</w:t>
            </w:r>
          </w:p>
        </w:tc>
      </w:tr>
      <w:tr w:rsidR="00C37639" w14:paraId="67C591A0" w14:textId="77777777" w:rsidTr="00860AF7">
        <w:tc>
          <w:tcPr>
            <w:tcW w:w="985" w:type="dxa"/>
          </w:tcPr>
          <w:p w14:paraId="5012BC47" w14:textId="223EA981" w:rsidR="00C37639" w:rsidRDefault="00C37639" w:rsidP="00C37639">
            <w:pPr>
              <w:pStyle w:val="BodyTextIndent"/>
              <w:ind w:firstLine="0"/>
            </w:pPr>
            <w:r w:rsidRPr="00F17A8E">
              <w:t>L</w:t>
            </w:r>
            <w:r>
              <w:t>O</w:t>
            </w:r>
            <w:r w:rsidRPr="00F17A8E">
              <w:t>CA</w:t>
            </w:r>
          </w:p>
        </w:tc>
        <w:tc>
          <w:tcPr>
            <w:tcW w:w="3775" w:type="dxa"/>
          </w:tcPr>
          <w:p w14:paraId="79CDD086" w14:textId="62D74AA2" w:rsidR="00C37639" w:rsidRDefault="00C37639" w:rsidP="00C37639">
            <w:pPr>
              <w:pStyle w:val="BodyTextIndent"/>
              <w:ind w:firstLine="0"/>
            </w:pPr>
            <w:r w:rsidRPr="00F17A8E">
              <w:t>Loss of Coolant Accident</w:t>
            </w:r>
          </w:p>
        </w:tc>
      </w:tr>
      <w:tr w:rsidR="00230FA0" w14:paraId="7451FCEA" w14:textId="77777777" w:rsidTr="00860AF7">
        <w:tc>
          <w:tcPr>
            <w:tcW w:w="985" w:type="dxa"/>
          </w:tcPr>
          <w:p w14:paraId="174F3DAA" w14:textId="573D1B0A" w:rsidR="00230FA0" w:rsidRPr="00F17A8E" w:rsidRDefault="00230FA0" w:rsidP="00230FA0">
            <w:pPr>
              <w:pStyle w:val="BodyTextIndent"/>
              <w:ind w:firstLine="0"/>
            </w:pPr>
            <w:r>
              <w:rPr>
                <w:sz w:val="22"/>
                <w:szCs w:val="22"/>
              </w:rPr>
              <w:t>MVSG</w:t>
            </w:r>
          </w:p>
        </w:tc>
        <w:tc>
          <w:tcPr>
            <w:tcW w:w="3775" w:type="dxa"/>
          </w:tcPr>
          <w:p w14:paraId="55FD5FD3" w14:textId="3F903C3A" w:rsidR="00230FA0" w:rsidRPr="00F17A8E" w:rsidRDefault="00230FA0" w:rsidP="00230FA0">
            <w:pPr>
              <w:pStyle w:val="BodyTextIndent"/>
              <w:ind w:firstLine="0"/>
            </w:pPr>
            <w:r>
              <w:rPr>
                <w:sz w:val="22"/>
                <w:szCs w:val="22"/>
              </w:rPr>
              <w:t>Mixing Vane Spacer Grid</w:t>
            </w:r>
          </w:p>
        </w:tc>
      </w:tr>
      <w:tr w:rsidR="00D74FEE" w14:paraId="511053AF" w14:textId="77777777" w:rsidTr="00860AF7">
        <w:tc>
          <w:tcPr>
            <w:tcW w:w="985" w:type="dxa"/>
          </w:tcPr>
          <w:p w14:paraId="2170852A" w14:textId="414CAD7D" w:rsidR="00D74FEE" w:rsidRDefault="00D74FEE" w:rsidP="00D74FEE">
            <w:pPr>
              <w:pStyle w:val="BodyTextIndent"/>
              <w:ind w:firstLine="0"/>
            </w:pPr>
            <w:r w:rsidRPr="00DB7755">
              <w:t>P/D</w:t>
            </w:r>
          </w:p>
        </w:tc>
        <w:tc>
          <w:tcPr>
            <w:tcW w:w="3775" w:type="dxa"/>
          </w:tcPr>
          <w:p w14:paraId="74B14E28" w14:textId="52E63945" w:rsidR="00D74FEE" w:rsidRDefault="00D74FEE" w:rsidP="00D74FEE">
            <w:pPr>
              <w:pStyle w:val="BodyTextIndent"/>
              <w:ind w:firstLine="0"/>
            </w:pPr>
            <w:r w:rsidRPr="00DB7755">
              <w:t>Pitch-to-Diameter ratio</w:t>
            </w:r>
          </w:p>
        </w:tc>
      </w:tr>
      <w:tr w:rsidR="00D0789B" w14:paraId="11B9269D" w14:textId="77777777" w:rsidTr="00860AF7">
        <w:tc>
          <w:tcPr>
            <w:tcW w:w="985" w:type="dxa"/>
          </w:tcPr>
          <w:p w14:paraId="7AEC8E31" w14:textId="1D28E236" w:rsidR="00D0789B" w:rsidRPr="00DB7755" w:rsidRDefault="00D0789B" w:rsidP="00D74FEE">
            <w:pPr>
              <w:pStyle w:val="BodyTextIndent"/>
              <w:ind w:firstLine="0"/>
            </w:pPr>
            <w:r>
              <w:t>IAC</w:t>
            </w:r>
          </w:p>
        </w:tc>
        <w:tc>
          <w:tcPr>
            <w:tcW w:w="3775" w:type="dxa"/>
          </w:tcPr>
          <w:p w14:paraId="6017F259" w14:textId="66B3EDCA" w:rsidR="00D0789B" w:rsidRPr="00DB7755" w:rsidRDefault="00D0789B" w:rsidP="00D74FEE">
            <w:pPr>
              <w:pStyle w:val="BodyTextIndent"/>
              <w:ind w:firstLine="0"/>
            </w:pPr>
            <w:r>
              <w:t>Interfacial Area Concentration</w:t>
            </w:r>
          </w:p>
        </w:tc>
      </w:tr>
      <w:tr w:rsidR="00D74FEE" w14:paraId="3E33CF59" w14:textId="77777777" w:rsidTr="00860AF7">
        <w:tc>
          <w:tcPr>
            <w:tcW w:w="985" w:type="dxa"/>
          </w:tcPr>
          <w:p w14:paraId="1CC1A939" w14:textId="1C7D33A7" w:rsidR="00D74FEE" w:rsidRPr="007A2F6E" w:rsidRDefault="00D74FEE" w:rsidP="00D74FEE">
            <w:pPr>
              <w:pStyle w:val="BodyTextIndent"/>
              <w:ind w:firstLine="0"/>
              <w:rPr>
                <w:i/>
                <w:iCs/>
              </w:rPr>
            </w:pPr>
            <w:r w:rsidRPr="007A2F6E">
              <w:rPr>
                <w:i/>
                <w:iCs/>
                <w:sz w:val="22"/>
                <w:szCs w:val="22"/>
              </w:rPr>
              <w:t>D</w:t>
            </w:r>
            <w:r w:rsidRPr="007A2F6E">
              <w:rPr>
                <w:i/>
                <w:iCs/>
                <w:sz w:val="22"/>
                <w:szCs w:val="22"/>
                <w:vertAlign w:val="subscript"/>
              </w:rPr>
              <w:t>R</w:t>
            </w:r>
          </w:p>
        </w:tc>
        <w:tc>
          <w:tcPr>
            <w:tcW w:w="3775" w:type="dxa"/>
          </w:tcPr>
          <w:p w14:paraId="4C85A5BB" w14:textId="1972024F" w:rsidR="00D74FEE" w:rsidRDefault="00D74FEE" w:rsidP="00D74FEE">
            <w:pPr>
              <w:pStyle w:val="BodyTextIndent"/>
              <w:ind w:firstLine="0"/>
            </w:pPr>
            <w:r>
              <w:t>Fuel rod diameter</w:t>
            </w:r>
          </w:p>
        </w:tc>
      </w:tr>
      <w:tr w:rsidR="00D74FEE" w14:paraId="24D30B9E" w14:textId="77777777" w:rsidTr="00860AF7">
        <w:tc>
          <w:tcPr>
            <w:tcW w:w="985" w:type="dxa"/>
          </w:tcPr>
          <w:p w14:paraId="64A6700F" w14:textId="1EDCFB13" w:rsidR="00D74FEE" w:rsidRDefault="00D74FEE" w:rsidP="00D74FEE">
            <w:pPr>
              <w:pStyle w:val="BodyTextIndent"/>
              <w:ind w:firstLine="0"/>
            </w:pPr>
            <w:r>
              <w:rPr>
                <w:i/>
                <w:iCs/>
                <w:sz w:val="22"/>
                <w:szCs w:val="22"/>
              </w:rPr>
              <w:t>P</w:t>
            </w:r>
            <w:r>
              <w:rPr>
                <w:i/>
                <w:iCs/>
                <w:sz w:val="22"/>
                <w:szCs w:val="22"/>
                <w:vertAlign w:val="subscript"/>
              </w:rPr>
              <w:t>w</w:t>
            </w:r>
          </w:p>
        </w:tc>
        <w:tc>
          <w:tcPr>
            <w:tcW w:w="3775" w:type="dxa"/>
          </w:tcPr>
          <w:p w14:paraId="6025CA69" w14:textId="47E0A21B" w:rsidR="00D74FEE" w:rsidRDefault="00D74FEE" w:rsidP="00D74FEE">
            <w:pPr>
              <w:pStyle w:val="BodyTextIndent"/>
              <w:ind w:firstLine="0"/>
            </w:pPr>
            <w:r>
              <w:rPr>
                <w:sz w:val="22"/>
                <w:szCs w:val="22"/>
              </w:rPr>
              <w:t>Wetted perimeter</w:t>
            </w:r>
          </w:p>
        </w:tc>
      </w:tr>
      <w:tr w:rsidR="00D74FEE" w14:paraId="74D708A5" w14:textId="77777777" w:rsidTr="00860AF7">
        <w:tc>
          <w:tcPr>
            <w:tcW w:w="985" w:type="dxa"/>
          </w:tcPr>
          <w:p w14:paraId="4F716E56" w14:textId="27AD00E0" w:rsidR="00D74FEE" w:rsidRDefault="00D74FEE" w:rsidP="00D74FEE">
            <w:pPr>
              <w:pStyle w:val="BodyTextIndent"/>
              <w:ind w:firstLine="0"/>
            </w:pPr>
            <w:r>
              <w:rPr>
                <w:i/>
                <w:iCs/>
                <w:sz w:val="22"/>
                <w:szCs w:val="22"/>
              </w:rPr>
              <w:t>A</w:t>
            </w:r>
            <w:r>
              <w:rPr>
                <w:i/>
                <w:iCs/>
                <w:sz w:val="22"/>
                <w:szCs w:val="22"/>
                <w:vertAlign w:val="subscript"/>
              </w:rPr>
              <w:t>F</w:t>
            </w:r>
          </w:p>
        </w:tc>
        <w:tc>
          <w:tcPr>
            <w:tcW w:w="3775" w:type="dxa"/>
          </w:tcPr>
          <w:p w14:paraId="4DA2AD16" w14:textId="037688E9" w:rsidR="00D74FEE" w:rsidRDefault="00D74FEE" w:rsidP="00D74FEE">
            <w:pPr>
              <w:pStyle w:val="BodyTextIndent"/>
              <w:ind w:firstLine="0"/>
            </w:pPr>
            <w:r>
              <w:rPr>
                <w:sz w:val="22"/>
                <w:szCs w:val="22"/>
              </w:rPr>
              <w:t>Flow area</w:t>
            </w:r>
          </w:p>
        </w:tc>
      </w:tr>
      <w:tr w:rsidR="00D74FEE" w14:paraId="79681BC0" w14:textId="77777777" w:rsidTr="00860AF7">
        <w:tc>
          <w:tcPr>
            <w:tcW w:w="985" w:type="dxa"/>
          </w:tcPr>
          <w:p w14:paraId="2A419C49" w14:textId="29FD8C6A" w:rsidR="00D74FEE" w:rsidRDefault="00D74FEE" w:rsidP="00D74FEE">
            <w:pPr>
              <w:pStyle w:val="BodyTextIndent"/>
              <w:ind w:firstLine="0"/>
              <w:rPr>
                <w:i/>
                <w:iCs/>
                <w:sz w:val="22"/>
                <w:szCs w:val="22"/>
              </w:rPr>
            </w:pPr>
            <w:r>
              <w:rPr>
                <w:i/>
                <w:iCs/>
                <w:sz w:val="22"/>
                <w:szCs w:val="22"/>
              </w:rPr>
              <w:t>z</w:t>
            </w:r>
          </w:p>
        </w:tc>
        <w:tc>
          <w:tcPr>
            <w:tcW w:w="3775" w:type="dxa"/>
          </w:tcPr>
          <w:p w14:paraId="32156247" w14:textId="0DC07561" w:rsidR="00D74FEE" w:rsidRDefault="00D74FEE" w:rsidP="00D74FEE">
            <w:pPr>
              <w:pStyle w:val="BodyTextIndent"/>
              <w:ind w:firstLine="0"/>
              <w:rPr>
                <w:sz w:val="22"/>
                <w:szCs w:val="22"/>
              </w:rPr>
            </w:pPr>
            <w:r>
              <w:rPr>
                <w:sz w:val="22"/>
                <w:szCs w:val="22"/>
              </w:rPr>
              <w:t>Axial height</w:t>
            </w:r>
          </w:p>
        </w:tc>
      </w:tr>
      <w:tr w:rsidR="00D74FEE" w14:paraId="4B158845" w14:textId="77777777" w:rsidTr="00860AF7">
        <w:tc>
          <w:tcPr>
            <w:tcW w:w="985" w:type="dxa"/>
          </w:tcPr>
          <w:p w14:paraId="7873921B" w14:textId="3B03DE4E" w:rsidR="00D74FEE" w:rsidRDefault="00D74FEE" w:rsidP="00D74FEE">
            <w:pPr>
              <w:pStyle w:val="BodyTextIndent"/>
              <w:ind w:firstLine="0"/>
            </w:pPr>
            <w:r>
              <w:rPr>
                <w:i/>
                <w:iCs/>
                <w:sz w:val="22"/>
                <w:szCs w:val="22"/>
              </w:rPr>
              <w:t>D</w:t>
            </w:r>
            <w:r>
              <w:rPr>
                <w:i/>
                <w:iCs/>
                <w:sz w:val="22"/>
                <w:szCs w:val="22"/>
                <w:vertAlign w:val="subscript"/>
              </w:rPr>
              <w:t>H</w:t>
            </w:r>
          </w:p>
        </w:tc>
        <w:tc>
          <w:tcPr>
            <w:tcW w:w="3775" w:type="dxa"/>
          </w:tcPr>
          <w:p w14:paraId="04B912DE" w14:textId="50EB697E" w:rsidR="00D74FEE" w:rsidRDefault="00D74FEE" w:rsidP="00D74FEE">
            <w:pPr>
              <w:pStyle w:val="BodyTextIndent"/>
              <w:ind w:firstLine="0"/>
            </w:pPr>
            <w:r>
              <w:rPr>
                <w:sz w:val="22"/>
                <w:szCs w:val="22"/>
              </w:rPr>
              <w:t>Hydraulic diameter of the flow channel</w:t>
            </w:r>
          </w:p>
        </w:tc>
      </w:tr>
      <w:tr w:rsidR="00D74FEE" w14:paraId="24BB51D4" w14:textId="77777777" w:rsidTr="00860AF7">
        <w:tc>
          <w:tcPr>
            <w:tcW w:w="985" w:type="dxa"/>
          </w:tcPr>
          <w:p w14:paraId="4B25E99B" w14:textId="17FD4AFF" w:rsidR="00D74FEE" w:rsidRDefault="00D74FEE" w:rsidP="00D74FEE">
            <w:pPr>
              <w:pStyle w:val="BodyTextIndent"/>
              <w:ind w:firstLine="0"/>
              <w:rPr>
                <w:i/>
                <w:iCs/>
                <w:sz w:val="22"/>
                <w:szCs w:val="22"/>
              </w:rPr>
            </w:pPr>
            <w:r>
              <w:rPr>
                <w:i/>
                <w:iCs/>
                <w:sz w:val="22"/>
                <w:szCs w:val="22"/>
              </w:rPr>
              <w:t>ε</w:t>
            </w:r>
          </w:p>
        </w:tc>
        <w:tc>
          <w:tcPr>
            <w:tcW w:w="3775" w:type="dxa"/>
          </w:tcPr>
          <w:p w14:paraId="087FAA77" w14:textId="460FEB95" w:rsidR="00D74FEE" w:rsidRDefault="00D74FEE" w:rsidP="00D74FEE">
            <w:pPr>
              <w:pStyle w:val="BodyTextIndent"/>
              <w:ind w:firstLine="0"/>
              <w:rPr>
                <w:sz w:val="22"/>
                <w:szCs w:val="22"/>
              </w:rPr>
            </w:pPr>
            <w:r>
              <w:rPr>
                <w:sz w:val="22"/>
                <w:szCs w:val="22"/>
              </w:rPr>
              <w:t>Void fraction</w:t>
            </w:r>
          </w:p>
        </w:tc>
      </w:tr>
      <w:tr w:rsidR="00D74FEE" w14:paraId="0395DEB0" w14:textId="77777777" w:rsidTr="00860AF7">
        <w:tc>
          <w:tcPr>
            <w:tcW w:w="985" w:type="dxa"/>
          </w:tcPr>
          <w:p w14:paraId="28B3DC66" w14:textId="6BCD9F40" w:rsidR="00D74FEE" w:rsidRDefault="00D74FEE" w:rsidP="00D74FEE">
            <w:pPr>
              <w:pStyle w:val="BodyTextIndent"/>
              <w:ind w:firstLine="0"/>
              <w:rPr>
                <w:i/>
                <w:iCs/>
                <w:sz w:val="22"/>
                <w:szCs w:val="22"/>
              </w:rPr>
            </w:pPr>
            <w:r>
              <w:rPr>
                <w:i/>
                <w:iCs/>
                <w:sz w:val="22"/>
                <w:szCs w:val="22"/>
              </w:rPr>
              <w:t>T</w:t>
            </w:r>
          </w:p>
        </w:tc>
        <w:tc>
          <w:tcPr>
            <w:tcW w:w="3775" w:type="dxa"/>
          </w:tcPr>
          <w:p w14:paraId="171B0B86" w14:textId="5F1D0E6D" w:rsidR="00D74FEE" w:rsidRDefault="00D74FEE" w:rsidP="00D74FEE">
            <w:pPr>
              <w:pStyle w:val="BodyTextIndent"/>
              <w:ind w:firstLine="0"/>
              <w:rPr>
                <w:sz w:val="22"/>
                <w:szCs w:val="22"/>
              </w:rPr>
            </w:pPr>
            <w:r>
              <w:rPr>
                <w:sz w:val="22"/>
                <w:szCs w:val="22"/>
              </w:rPr>
              <w:t>Time</w:t>
            </w:r>
          </w:p>
        </w:tc>
      </w:tr>
      <w:tr w:rsidR="00D74FEE" w14:paraId="4B6DB20C" w14:textId="77777777" w:rsidTr="00860AF7">
        <w:tc>
          <w:tcPr>
            <w:tcW w:w="985" w:type="dxa"/>
          </w:tcPr>
          <w:p w14:paraId="0F2CAC91" w14:textId="0B4AB05A" w:rsidR="00D74FEE" w:rsidRDefault="00D74FEE" w:rsidP="00D74FEE">
            <w:pPr>
              <w:pStyle w:val="BodyTextIndent"/>
              <w:ind w:firstLine="0"/>
              <w:rPr>
                <w:i/>
                <w:iCs/>
                <w:sz w:val="22"/>
                <w:szCs w:val="22"/>
              </w:rPr>
            </w:pPr>
            <w:r>
              <w:rPr>
                <w:rFonts w:asciiTheme="majorHAnsi" w:hAnsiTheme="majorHAnsi"/>
                <w:i/>
                <w:iCs/>
                <w:sz w:val="22"/>
                <w:szCs w:val="22"/>
              </w:rPr>
              <w:t>J</w:t>
            </w:r>
            <w:r>
              <w:rPr>
                <w:rFonts w:asciiTheme="majorHAnsi" w:hAnsiTheme="majorHAnsi"/>
                <w:i/>
                <w:iCs/>
                <w:sz w:val="22"/>
                <w:szCs w:val="22"/>
                <w:vertAlign w:val="subscript"/>
              </w:rPr>
              <w:t>f</w:t>
            </w:r>
          </w:p>
        </w:tc>
        <w:tc>
          <w:tcPr>
            <w:tcW w:w="3775" w:type="dxa"/>
          </w:tcPr>
          <w:p w14:paraId="3FE4E68E" w14:textId="75C350A6" w:rsidR="00D74FEE" w:rsidRDefault="00D74FEE" w:rsidP="00D74FEE">
            <w:pPr>
              <w:pStyle w:val="BodyTextIndent"/>
              <w:ind w:firstLine="0"/>
              <w:rPr>
                <w:sz w:val="22"/>
                <w:szCs w:val="22"/>
              </w:rPr>
            </w:pPr>
            <w:r>
              <w:rPr>
                <w:sz w:val="22"/>
                <w:szCs w:val="22"/>
              </w:rPr>
              <w:t>Liquid superficial velocity</w:t>
            </w:r>
          </w:p>
        </w:tc>
      </w:tr>
      <w:tr w:rsidR="00D74FEE" w14:paraId="0DCC8EA5" w14:textId="77777777" w:rsidTr="00860AF7">
        <w:tc>
          <w:tcPr>
            <w:tcW w:w="985" w:type="dxa"/>
          </w:tcPr>
          <w:p w14:paraId="26A4C7D4" w14:textId="352AD9AE" w:rsidR="00D74FEE" w:rsidRDefault="00D74FEE" w:rsidP="00D74FEE">
            <w:pPr>
              <w:pStyle w:val="BodyTextIndent"/>
              <w:ind w:firstLine="0"/>
              <w:rPr>
                <w:i/>
                <w:iCs/>
                <w:sz w:val="22"/>
                <w:szCs w:val="22"/>
              </w:rPr>
            </w:pPr>
            <w:r>
              <w:rPr>
                <w:rFonts w:asciiTheme="majorHAnsi" w:hAnsiTheme="majorHAnsi"/>
                <w:i/>
                <w:iCs/>
                <w:sz w:val="22"/>
                <w:szCs w:val="22"/>
              </w:rPr>
              <w:t>J</w:t>
            </w:r>
            <w:r>
              <w:rPr>
                <w:rFonts w:asciiTheme="majorHAnsi" w:hAnsiTheme="majorHAnsi"/>
                <w:i/>
                <w:iCs/>
                <w:sz w:val="22"/>
                <w:szCs w:val="22"/>
                <w:vertAlign w:val="subscript"/>
              </w:rPr>
              <w:t>g</w:t>
            </w:r>
          </w:p>
        </w:tc>
        <w:tc>
          <w:tcPr>
            <w:tcW w:w="3775" w:type="dxa"/>
          </w:tcPr>
          <w:p w14:paraId="1A92D39B" w14:textId="045C2164" w:rsidR="00D74FEE" w:rsidRDefault="00D74FEE" w:rsidP="00D74FEE">
            <w:pPr>
              <w:pStyle w:val="BodyTextIndent"/>
              <w:ind w:firstLine="0"/>
              <w:rPr>
                <w:sz w:val="22"/>
                <w:szCs w:val="22"/>
              </w:rPr>
            </w:pPr>
            <w:r>
              <w:rPr>
                <w:sz w:val="22"/>
                <w:szCs w:val="22"/>
              </w:rPr>
              <w:t>Gas superficial velocity</w:t>
            </w:r>
          </w:p>
        </w:tc>
      </w:tr>
    </w:tbl>
    <w:p w14:paraId="37530832" w14:textId="77777777" w:rsidR="001127F6" w:rsidRPr="002C0405" w:rsidRDefault="001127F6" w:rsidP="002C0405">
      <w:pPr>
        <w:pStyle w:val="BodyTextIndent"/>
      </w:pPr>
    </w:p>
    <w:p w14:paraId="3252E74C" w14:textId="77777777" w:rsidR="00B43BD3" w:rsidRDefault="00B43BD3" w:rsidP="00743DF8">
      <w:pPr>
        <w:pStyle w:val="BodyTextIndent"/>
        <w:ind w:firstLine="0"/>
        <w:jc w:val="center"/>
        <w:rPr>
          <w:b/>
          <w:bCs/>
          <w:sz w:val="22"/>
          <w:szCs w:val="22"/>
        </w:rPr>
      </w:pPr>
    </w:p>
    <w:p w14:paraId="18442780" w14:textId="77777777" w:rsidR="00B43BD3" w:rsidRDefault="00B43BD3" w:rsidP="00743DF8">
      <w:pPr>
        <w:pStyle w:val="BodyTextIndent"/>
        <w:ind w:firstLine="0"/>
        <w:jc w:val="center"/>
        <w:rPr>
          <w:b/>
          <w:bCs/>
          <w:sz w:val="22"/>
          <w:szCs w:val="22"/>
        </w:rPr>
      </w:pPr>
    </w:p>
    <w:p w14:paraId="5EB356EF" w14:textId="77777777" w:rsidR="0092552F" w:rsidRDefault="0092552F" w:rsidP="00743DF8">
      <w:pPr>
        <w:pStyle w:val="BodyTextIndent"/>
        <w:ind w:firstLine="0"/>
        <w:jc w:val="center"/>
        <w:rPr>
          <w:b/>
          <w:bCs/>
          <w:sz w:val="22"/>
          <w:szCs w:val="22"/>
        </w:rPr>
      </w:pPr>
    </w:p>
    <w:p w14:paraId="0561CC38" w14:textId="3D897DFE" w:rsidR="00F85935" w:rsidRDefault="00F67BEC" w:rsidP="00743DF8">
      <w:pPr>
        <w:pStyle w:val="BodyTextIndent"/>
        <w:ind w:firstLine="0"/>
        <w:jc w:val="center"/>
        <w:rPr>
          <w:b/>
          <w:bCs/>
          <w:sz w:val="22"/>
          <w:szCs w:val="22"/>
        </w:rPr>
      </w:pPr>
      <w:r w:rsidRPr="00F67BEC">
        <w:rPr>
          <w:b/>
          <w:bCs/>
          <w:sz w:val="22"/>
          <w:szCs w:val="22"/>
        </w:rPr>
        <w:t>References</w:t>
      </w:r>
    </w:p>
    <w:p w14:paraId="7F04B383" w14:textId="77777777" w:rsidR="00F67BEC" w:rsidRDefault="00F67BEC" w:rsidP="00743DF8">
      <w:pPr>
        <w:pStyle w:val="BodyTextIndent"/>
        <w:ind w:firstLine="0"/>
        <w:jc w:val="center"/>
        <w:rPr>
          <w:b/>
          <w:bCs/>
          <w:sz w:val="22"/>
          <w:szCs w:val="22"/>
        </w:rPr>
      </w:pPr>
    </w:p>
    <w:p w14:paraId="4CD00744" w14:textId="2BC4B749" w:rsidR="009D6DFA" w:rsidRPr="009D6DFA" w:rsidRDefault="00F67BEC" w:rsidP="009D6DFA">
      <w:pPr>
        <w:widowControl w:val="0"/>
        <w:autoSpaceDE w:val="0"/>
        <w:autoSpaceDN w:val="0"/>
        <w:adjustRightInd w:val="0"/>
        <w:ind w:left="640" w:hanging="640"/>
        <w:rPr>
          <w:noProof/>
          <w:kern w:val="0"/>
          <w:szCs w:val="24"/>
        </w:rPr>
      </w:pPr>
      <w:r>
        <w:fldChar w:fldCharType="begin" w:fldLock="1"/>
      </w:r>
      <w:r>
        <w:instrText xml:space="preserve">ADDIN Mendeley Bibliography CSL_BIBLIOGRAPHY </w:instrText>
      </w:r>
      <w:r>
        <w:fldChar w:fldCharType="separate"/>
      </w:r>
      <w:r w:rsidR="009D6DFA" w:rsidRPr="009D6DFA">
        <w:rPr>
          <w:noProof/>
          <w:kern w:val="0"/>
          <w:szCs w:val="24"/>
        </w:rPr>
        <w:t>[1]</w:t>
      </w:r>
      <w:r w:rsidR="009D6DFA" w:rsidRPr="009D6DFA">
        <w:rPr>
          <w:noProof/>
          <w:kern w:val="0"/>
          <w:szCs w:val="24"/>
        </w:rPr>
        <w:tab/>
        <w:t xml:space="preserve">J. Vujić, R. M. Bergmann, R. Škoda, and M. Miletić, “Small modular reactors: Simpler, safer, cheaper?,” </w:t>
      </w:r>
      <w:r w:rsidR="009D6DFA" w:rsidRPr="009D6DFA">
        <w:rPr>
          <w:i/>
          <w:iCs/>
          <w:noProof/>
          <w:kern w:val="0"/>
          <w:szCs w:val="24"/>
        </w:rPr>
        <w:t>Energy</w:t>
      </w:r>
      <w:r w:rsidR="009D6DFA" w:rsidRPr="009D6DFA">
        <w:rPr>
          <w:noProof/>
          <w:kern w:val="0"/>
          <w:szCs w:val="24"/>
        </w:rPr>
        <w:t>, vol. 45, no. 1, pp. 288–295, 2012, doi: 10.1016/j.energy.2012.01.078.</w:t>
      </w:r>
    </w:p>
    <w:p w14:paraId="63B3A3ED"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[2]</w:t>
      </w:r>
      <w:r w:rsidRPr="009D6DFA">
        <w:rPr>
          <w:noProof/>
          <w:kern w:val="0"/>
          <w:szCs w:val="24"/>
        </w:rPr>
        <w:tab/>
        <w:t xml:space="preserve">I. Atomic and E. Agency, “Design and development status of small and medium reactor systems 1995,” </w:t>
      </w:r>
      <w:r w:rsidRPr="009D6DFA">
        <w:rPr>
          <w:i/>
          <w:iCs/>
          <w:noProof/>
          <w:kern w:val="0"/>
          <w:szCs w:val="24"/>
        </w:rPr>
        <w:t>IAEA Nucl. Energy Ser.</w:t>
      </w:r>
      <w:r w:rsidRPr="009D6DFA">
        <w:rPr>
          <w:noProof/>
          <w:kern w:val="0"/>
          <w:szCs w:val="24"/>
        </w:rPr>
        <w:t>, vol. 3, no. 5445645, p. 45, 1995.</w:t>
      </w:r>
    </w:p>
    <w:p w14:paraId="7DA4AE55"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[3]</w:t>
      </w:r>
      <w:r w:rsidRPr="009D6DFA">
        <w:rPr>
          <w:noProof/>
          <w:kern w:val="0"/>
          <w:szCs w:val="24"/>
        </w:rPr>
        <w:tab/>
        <w:t xml:space="preserve">X. Yang </w:t>
      </w:r>
      <w:r w:rsidRPr="009D6DFA">
        <w:rPr>
          <w:i/>
          <w:iCs/>
          <w:noProof/>
          <w:kern w:val="0"/>
          <w:szCs w:val="24"/>
        </w:rPr>
        <w:t>et al.</w:t>
      </w:r>
      <w:r w:rsidRPr="009D6DFA">
        <w:rPr>
          <w:noProof/>
          <w:kern w:val="0"/>
          <w:szCs w:val="24"/>
        </w:rPr>
        <w:t xml:space="preserve">, “Prediction of interfacial area transport in a scaled 8×8 BWR rod bundle,” </w:t>
      </w:r>
      <w:r w:rsidRPr="009D6DFA">
        <w:rPr>
          <w:i/>
          <w:iCs/>
          <w:noProof/>
          <w:kern w:val="0"/>
          <w:szCs w:val="24"/>
        </w:rPr>
        <w:t>Nucl. Eng. Des.</w:t>
      </w:r>
      <w:r w:rsidRPr="009D6DFA">
        <w:rPr>
          <w:noProof/>
          <w:kern w:val="0"/>
          <w:szCs w:val="24"/>
        </w:rPr>
        <w:t>, vol. 310, no. 2016, pp. 638–647, 2016, doi: 10.1016/j.nucengdes.2016.10.037.</w:t>
      </w:r>
    </w:p>
    <w:p w14:paraId="31C10105"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[4]</w:t>
      </w:r>
      <w:r w:rsidRPr="009D6DFA">
        <w:rPr>
          <w:noProof/>
          <w:kern w:val="0"/>
          <w:szCs w:val="24"/>
        </w:rPr>
        <w:tab/>
        <w:t xml:space="preserve">Z. Dang </w:t>
      </w:r>
      <w:r w:rsidRPr="009D6DFA">
        <w:rPr>
          <w:i/>
          <w:iCs/>
          <w:noProof/>
          <w:kern w:val="0"/>
          <w:szCs w:val="24"/>
        </w:rPr>
        <w:t>et al.</w:t>
      </w:r>
      <w:r w:rsidRPr="009D6DFA">
        <w:rPr>
          <w:noProof/>
          <w:kern w:val="0"/>
          <w:szCs w:val="24"/>
        </w:rPr>
        <w:t xml:space="preserve">, “Experimental study of interfacial characteristics of vertical upward air-water two-phase flow in 25.4 mm ID round pipe,” </w:t>
      </w:r>
      <w:r w:rsidRPr="009D6DFA">
        <w:rPr>
          <w:i/>
          <w:iCs/>
          <w:noProof/>
          <w:kern w:val="0"/>
          <w:szCs w:val="24"/>
        </w:rPr>
        <w:t>International Journal of Heat and Mass Transfer</w:t>
      </w:r>
      <w:r w:rsidRPr="009D6DFA">
        <w:rPr>
          <w:noProof/>
          <w:kern w:val="0"/>
          <w:szCs w:val="24"/>
        </w:rPr>
        <w:t>, vol. 108. pp. 1825–1838, 2017, doi: 10.1016/j.ijheatmasstransfer.2017.01.040.</w:t>
      </w:r>
    </w:p>
    <w:p w14:paraId="5450E652"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[5]</w:t>
      </w:r>
      <w:r w:rsidRPr="009D6DFA">
        <w:rPr>
          <w:noProof/>
          <w:kern w:val="0"/>
          <w:szCs w:val="24"/>
        </w:rPr>
        <w:tab/>
        <w:t xml:space="preserve">S. Hosokawa, K. Hayashi, and A. Tomiyama, “Void distribution and bubble motion in bubbly flows in a 4×4 rod bundle. Part I: Experiments,” </w:t>
      </w:r>
      <w:r w:rsidRPr="009D6DFA">
        <w:rPr>
          <w:i/>
          <w:iCs/>
          <w:noProof/>
          <w:kern w:val="0"/>
          <w:szCs w:val="24"/>
        </w:rPr>
        <w:t>J. Nucl. Sci. Technol.</w:t>
      </w:r>
      <w:r w:rsidRPr="009D6DFA">
        <w:rPr>
          <w:noProof/>
          <w:kern w:val="0"/>
          <w:szCs w:val="24"/>
        </w:rPr>
        <w:t>, vol. 51, no. 2, pp. 220–230, 2014, doi: 10.1080/00223131.2013.862189.</w:t>
      </w:r>
    </w:p>
    <w:p w14:paraId="3EA0B8E6"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[6]</w:t>
      </w:r>
      <w:r w:rsidRPr="009D6DFA">
        <w:rPr>
          <w:noProof/>
          <w:kern w:val="0"/>
          <w:szCs w:val="24"/>
        </w:rPr>
        <w:tab/>
        <w:t xml:space="preserve">S. W. Chen </w:t>
      </w:r>
      <w:r w:rsidRPr="009D6DFA">
        <w:rPr>
          <w:i/>
          <w:iCs/>
          <w:noProof/>
          <w:kern w:val="0"/>
          <w:szCs w:val="24"/>
        </w:rPr>
        <w:t>et al.</w:t>
      </w:r>
      <w:r w:rsidRPr="009D6DFA">
        <w:rPr>
          <w:noProof/>
          <w:kern w:val="0"/>
          <w:szCs w:val="24"/>
        </w:rPr>
        <w:t xml:space="preserve">, “Experimental investigation on local/global void distribution of air-water two-phase flow in a 3 × 3 rod bundle channel under low-flow conditions,” </w:t>
      </w:r>
      <w:r w:rsidRPr="009D6DFA">
        <w:rPr>
          <w:i/>
          <w:iCs/>
          <w:noProof/>
          <w:kern w:val="0"/>
          <w:szCs w:val="24"/>
        </w:rPr>
        <w:t>Int. J. Heat Fluid Flow</w:t>
      </w:r>
      <w:r w:rsidRPr="009D6DFA">
        <w:rPr>
          <w:noProof/>
          <w:kern w:val="0"/>
          <w:szCs w:val="24"/>
        </w:rPr>
        <w:t>, vol. 85, no. July, p. 108623, 2020, doi: 10.1016/j.ijheatfluidflow.2020.108623.</w:t>
      </w:r>
    </w:p>
    <w:p w14:paraId="36E2129E"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[7]</w:t>
      </w:r>
      <w:r w:rsidRPr="009D6DFA">
        <w:rPr>
          <w:noProof/>
          <w:kern w:val="0"/>
          <w:szCs w:val="24"/>
        </w:rPr>
        <w:tab/>
        <w:t xml:space="preserve">H. Zhang, Y. Xiao, and H. Gu, “Experimental investigation of two-phase flow evolution in a tight lattice bundle using wire-mesh sensor,” </w:t>
      </w:r>
      <w:r w:rsidRPr="009D6DFA">
        <w:rPr>
          <w:i/>
          <w:iCs/>
          <w:noProof/>
          <w:kern w:val="0"/>
          <w:szCs w:val="24"/>
        </w:rPr>
        <w:t>Int. J. Heat Mass Transf.</w:t>
      </w:r>
      <w:r w:rsidRPr="009D6DFA">
        <w:rPr>
          <w:noProof/>
          <w:kern w:val="0"/>
          <w:szCs w:val="24"/>
        </w:rPr>
        <w:t>, vol. 171, p. 121079, 2021, doi: 10.1016/j.ijheatmasstransfer.2021.121079.</w:t>
      </w:r>
    </w:p>
    <w:p w14:paraId="19F100AE"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[8]</w:t>
      </w:r>
      <w:r w:rsidRPr="009D6DFA">
        <w:rPr>
          <w:noProof/>
          <w:kern w:val="0"/>
          <w:szCs w:val="24"/>
        </w:rPr>
        <w:tab/>
        <w:t xml:space="preserve">S. Liu, L. Liu, H. Gu, and K. Wang, “Experimental study of gas-liquid flow patterns and void fraction in prototype 5 × 5 rod bundle channel using wire-mesh sensor,” </w:t>
      </w:r>
      <w:r w:rsidRPr="009D6DFA">
        <w:rPr>
          <w:i/>
          <w:iCs/>
          <w:noProof/>
          <w:kern w:val="0"/>
          <w:szCs w:val="24"/>
        </w:rPr>
        <w:t>Ann. Nucl. Energy</w:t>
      </w:r>
      <w:r w:rsidRPr="009D6DFA">
        <w:rPr>
          <w:noProof/>
          <w:kern w:val="0"/>
          <w:szCs w:val="24"/>
        </w:rPr>
        <w:t>, vol. 171, 2022, doi: 10.1016/j.anucene.2022.109022.</w:t>
      </w:r>
    </w:p>
    <w:p w14:paraId="4DB3DF6A"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[9]</w:t>
      </w:r>
      <w:r w:rsidRPr="009D6DFA">
        <w:rPr>
          <w:noProof/>
          <w:kern w:val="0"/>
          <w:szCs w:val="24"/>
        </w:rPr>
        <w:tab/>
        <w:t xml:space="preserve">J. Xiong, H. Xie, S. Du, and X. Cheng, “Experimental measurement of bubbly two-phase flow in a 4x4 rod bundle with wire mesh sensor,” </w:t>
      </w:r>
      <w:r w:rsidRPr="009D6DFA">
        <w:rPr>
          <w:i/>
          <w:iCs/>
          <w:noProof/>
          <w:kern w:val="0"/>
          <w:szCs w:val="24"/>
        </w:rPr>
        <w:t>Appl. Therm. Eng.</w:t>
      </w:r>
      <w:r w:rsidRPr="009D6DFA">
        <w:rPr>
          <w:noProof/>
          <w:kern w:val="0"/>
          <w:szCs w:val="24"/>
        </w:rPr>
        <w:t>, vol. 218, no. June 2022, 2023, doi: 10.1016/j.applthermaleng.2022.119294.</w:t>
      </w:r>
    </w:p>
    <w:p w14:paraId="088EB4EF"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[10]</w:t>
      </w:r>
      <w:r w:rsidRPr="009D6DFA">
        <w:rPr>
          <w:noProof/>
          <w:kern w:val="0"/>
          <w:szCs w:val="24"/>
        </w:rPr>
        <w:tab/>
        <w:t xml:space="preserve">X. Yan, Y. Xiao, and H. Zhang, “Measurement of the Two-Phase Flow Void Fraction Downstream Of Spacer Grids in Tight Lattice Bundles Using Wire-Mesh Sensor,” </w:t>
      </w:r>
      <w:r w:rsidRPr="009D6DFA">
        <w:rPr>
          <w:i/>
          <w:iCs/>
          <w:noProof/>
          <w:kern w:val="0"/>
          <w:szCs w:val="24"/>
        </w:rPr>
        <w:t>Proc. 2022 29th Int. Conf. Nucl. Eng. ICONE29</w:t>
      </w:r>
      <w:r w:rsidRPr="009D6DFA">
        <w:rPr>
          <w:noProof/>
          <w:kern w:val="0"/>
          <w:szCs w:val="24"/>
        </w:rPr>
        <w:t>, no. 2021, pp. 1–8, 2022.</w:t>
      </w:r>
    </w:p>
    <w:p w14:paraId="65BFFCFA"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[11]</w:t>
      </w:r>
      <w:r w:rsidRPr="009D6DFA">
        <w:rPr>
          <w:noProof/>
          <w:kern w:val="0"/>
          <w:szCs w:val="24"/>
        </w:rPr>
        <w:tab/>
        <w:t xml:space="preserve">M. K. Qazi, G. Guido-Lavalle, and A. Clausse, “Void fraction along a vertical heated rod bundle under flow stagnation conditions,” </w:t>
      </w:r>
      <w:r w:rsidRPr="009D6DFA">
        <w:rPr>
          <w:i/>
          <w:iCs/>
          <w:noProof/>
          <w:kern w:val="0"/>
          <w:szCs w:val="24"/>
        </w:rPr>
        <w:t>Nucl. Eng. Des.</w:t>
      </w:r>
      <w:r w:rsidRPr="009D6DFA">
        <w:rPr>
          <w:noProof/>
          <w:kern w:val="0"/>
          <w:szCs w:val="24"/>
        </w:rPr>
        <w:t xml:space="preserve">, vol. 152, no. 1–3, pp. 225–230, 1994, doi: </w:t>
      </w:r>
      <w:r w:rsidRPr="009D6DFA">
        <w:rPr>
          <w:noProof/>
          <w:kern w:val="0"/>
          <w:szCs w:val="24"/>
        </w:rPr>
        <w:t>10.1016/0029-5493(94)90087-6.</w:t>
      </w:r>
    </w:p>
    <w:p w14:paraId="1158FFF4"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[12]</w:t>
      </w:r>
      <w:r w:rsidRPr="009D6DFA">
        <w:rPr>
          <w:noProof/>
          <w:kern w:val="0"/>
          <w:szCs w:val="24"/>
        </w:rPr>
        <w:tab/>
        <w:t xml:space="preserve">M. K. Qazi, G. Guido-Lavalle, and A. Clausse, “Axial development of void fraction profiles in vertical two-phase flow,” </w:t>
      </w:r>
      <w:r w:rsidRPr="009D6DFA">
        <w:rPr>
          <w:i/>
          <w:iCs/>
          <w:noProof/>
          <w:kern w:val="0"/>
          <w:szCs w:val="24"/>
        </w:rPr>
        <w:t>Int. J. Multiph. Flow</w:t>
      </w:r>
      <w:r w:rsidRPr="009D6DFA">
        <w:rPr>
          <w:noProof/>
          <w:kern w:val="0"/>
          <w:szCs w:val="24"/>
        </w:rPr>
        <w:t>, vol. 19, no. 2, pp. 385–389, 1993.</w:t>
      </w:r>
    </w:p>
    <w:p w14:paraId="1E5FF428"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[13]</w:t>
      </w:r>
      <w:r w:rsidRPr="009D6DFA">
        <w:rPr>
          <w:noProof/>
          <w:kern w:val="0"/>
          <w:szCs w:val="24"/>
        </w:rPr>
        <w:tab/>
        <w:t xml:space="preserve">H. V. Kok, T. H. J. J. Van Der Hagen, and R. F. Mudde, “Subchannel void-fraction measurements in a 6×6 rod bundle using a simple gamma-transmission method,” </w:t>
      </w:r>
      <w:r w:rsidRPr="009D6DFA">
        <w:rPr>
          <w:i/>
          <w:iCs/>
          <w:noProof/>
          <w:kern w:val="0"/>
          <w:szCs w:val="24"/>
        </w:rPr>
        <w:t>Int. J. Multiph. Flow</w:t>
      </w:r>
      <w:r w:rsidRPr="009D6DFA">
        <w:rPr>
          <w:noProof/>
          <w:kern w:val="0"/>
          <w:szCs w:val="24"/>
        </w:rPr>
        <w:t>, vol. 27, no. 1, pp. 147–170, 2001, doi: 10.1016/S0301-9322(00)00005-7.</w:t>
      </w:r>
    </w:p>
    <w:p w14:paraId="62266511"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[14]</w:t>
      </w:r>
      <w:r w:rsidRPr="009D6DFA">
        <w:rPr>
          <w:noProof/>
          <w:kern w:val="0"/>
          <w:szCs w:val="24"/>
        </w:rPr>
        <w:tab/>
        <w:t xml:space="preserve">N. Abuaf, O. C. Jones, and G. A. Zimmer, “Optical probe for local void fraction and interface velocity measurements,” </w:t>
      </w:r>
      <w:r w:rsidRPr="009D6DFA">
        <w:rPr>
          <w:i/>
          <w:iCs/>
          <w:noProof/>
          <w:kern w:val="0"/>
          <w:szCs w:val="24"/>
        </w:rPr>
        <w:t>Rev. Sci. Instrum.</w:t>
      </w:r>
      <w:r w:rsidRPr="009D6DFA">
        <w:rPr>
          <w:noProof/>
          <w:kern w:val="0"/>
          <w:szCs w:val="24"/>
        </w:rPr>
        <w:t>, vol. 49, no. 8, pp. 1090–1094, 1978, doi: 10.1063/1.1135524.</w:t>
      </w:r>
    </w:p>
    <w:p w14:paraId="76002267"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[15]</w:t>
      </w:r>
      <w:r w:rsidRPr="009D6DFA">
        <w:rPr>
          <w:noProof/>
          <w:kern w:val="0"/>
          <w:szCs w:val="24"/>
        </w:rPr>
        <w:tab/>
        <w:t xml:space="preserve">A. A. Jasim, A. J. Sultan, and M. H. Al-Dahhan, “Impact of heat exchanging internals configurations on the gas holdup and bubble properties in a bubble column,” </w:t>
      </w:r>
      <w:r w:rsidRPr="009D6DFA">
        <w:rPr>
          <w:i/>
          <w:iCs/>
          <w:noProof/>
          <w:kern w:val="0"/>
          <w:szCs w:val="24"/>
        </w:rPr>
        <w:t>Int. J. Multiph. Flow</w:t>
      </w:r>
      <w:r w:rsidRPr="009D6DFA">
        <w:rPr>
          <w:noProof/>
          <w:kern w:val="0"/>
          <w:szCs w:val="24"/>
        </w:rPr>
        <w:t>, vol. 112, no. November, pp. 63–82, 2019, doi: 10.1016/j.ijmultiphaseflow.2018.11.008.</w:t>
      </w:r>
    </w:p>
    <w:p w14:paraId="7E34B277"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[16]</w:t>
      </w:r>
      <w:r w:rsidRPr="009D6DFA">
        <w:rPr>
          <w:noProof/>
          <w:kern w:val="0"/>
          <w:szCs w:val="24"/>
        </w:rPr>
        <w:tab/>
        <w:t xml:space="preserve">X. Shen, S. Miwa, Y. Xiao, X. Han, and T. Hibiki, “Local measurements of upward air-water two-phase flows in a vertical 6×6 rod bundle,” </w:t>
      </w:r>
      <w:r w:rsidRPr="009D6DFA">
        <w:rPr>
          <w:i/>
          <w:iCs/>
          <w:noProof/>
          <w:kern w:val="0"/>
          <w:szCs w:val="24"/>
        </w:rPr>
        <w:t>Exp. Comput. Multiph. Flow</w:t>
      </w:r>
      <w:r w:rsidRPr="009D6DFA">
        <w:rPr>
          <w:noProof/>
          <w:kern w:val="0"/>
          <w:szCs w:val="24"/>
        </w:rPr>
        <w:t>, vol. 1, no. 3, pp. 186–200, 2019, doi: 10.1007/s42757-019-0031-0.</w:t>
      </w:r>
    </w:p>
    <w:p w14:paraId="46AF728C"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[17]</w:t>
      </w:r>
      <w:r w:rsidRPr="009D6DFA">
        <w:rPr>
          <w:noProof/>
          <w:kern w:val="0"/>
          <w:szCs w:val="24"/>
        </w:rPr>
        <w:tab/>
        <w:t xml:space="preserve">X. Han, X. Shen, T. Yamamoto, and K. Nakajima, “Flow characteristics of upward two-phase flows in a rod bundle geometry,” </w:t>
      </w:r>
      <w:r w:rsidRPr="009D6DFA">
        <w:rPr>
          <w:i/>
          <w:iCs/>
          <w:noProof/>
          <w:kern w:val="0"/>
          <w:szCs w:val="24"/>
        </w:rPr>
        <w:t>Int. Conf. Nucl. Eng. Proceedings, ICONE</w:t>
      </w:r>
      <w:r w:rsidRPr="009D6DFA">
        <w:rPr>
          <w:noProof/>
          <w:kern w:val="0"/>
          <w:szCs w:val="24"/>
        </w:rPr>
        <w:t>, vol. 3, 2020, doi: 10.1115/icone2020-16740.</w:t>
      </w:r>
    </w:p>
    <w:p w14:paraId="53CA2D50"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[18]</w:t>
      </w:r>
      <w:r w:rsidRPr="009D6DFA">
        <w:rPr>
          <w:noProof/>
          <w:kern w:val="0"/>
          <w:szCs w:val="24"/>
        </w:rPr>
        <w:tab/>
        <w:t xml:space="preserve">K. H. Choi and W. K. Lee, “Comparison of probe methods for measurement of bubble properties,” </w:t>
      </w:r>
      <w:r w:rsidRPr="009D6DFA">
        <w:rPr>
          <w:i/>
          <w:iCs/>
          <w:noProof/>
          <w:kern w:val="0"/>
          <w:szCs w:val="24"/>
        </w:rPr>
        <w:t>Chem. Eng. Commun.</w:t>
      </w:r>
      <w:r w:rsidRPr="009D6DFA">
        <w:rPr>
          <w:noProof/>
          <w:kern w:val="0"/>
          <w:szCs w:val="24"/>
        </w:rPr>
        <w:t>, vol. 91, no. 1, pp. 35–47, 1990, doi: 10.1080/00986449008940700.</w:t>
      </w:r>
    </w:p>
    <w:p w14:paraId="0E3948B5"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[19]</w:t>
      </w:r>
      <w:r w:rsidRPr="009D6DFA">
        <w:rPr>
          <w:noProof/>
          <w:kern w:val="0"/>
          <w:szCs w:val="24"/>
        </w:rPr>
        <w:tab/>
        <w:t xml:space="preserve">S. Paranjape, D. Stefanczyk, Y. Liang, T. Hibiki, and M. Ishii, “Global flow regime identification in a rod bundle geometry,” </w:t>
      </w:r>
      <w:r w:rsidRPr="009D6DFA">
        <w:rPr>
          <w:i/>
          <w:iCs/>
          <w:noProof/>
          <w:kern w:val="0"/>
          <w:szCs w:val="24"/>
        </w:rPr>
        <w:t>Int. Conf. Nucl. Eng. Proceedings, ICONE</w:t>
      </w:r>
      <w:r w:rsidRPr="009D6DFA">
        <w:rPr>
          <w:noProof/>
          <w:kern w:val="0"/>
          <w:szCs w:val="24"/>
        </w:rPr>
        <w:t>, vol. 3, pp. 421–429, 2008, doi: 10.1115/ICONE16-48435.</w:t>
      </w:r>
    </w:p>
    <w:p w14:paraId="46A6F7C8"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[20]</w:t>
      </w:r>
      <w:r w:rsidRPr="009D6DFA">
        <w:rPr>
          <w:noProof/>
          <w:kern w:val="0"/>
          <w:szCs w:val="24"/>
        </w:rPr>
        <w:tab/>
        <w:t xml:space="preserve">S. Paranjape, S. W. Chen, T. Hibiki, and M. Ishii, “Flow regime identification under adiabatic upward two-phase flow in a vertical rod bundle geometry,” </w:t>
      </w:r>
      <w:r w:rsidRPr="009D6DFA">
        <w:rPr>
          <w:i/>
          <w:iCs/>
          <w:noProof/>
          <w:kern w:val="0"/>
          <w:szCs w:val="24"/>
        </w:rPr>
        <w:t>J. Fluids Eng. Trans. ASME</w:t>
      </w:r>
      <w:r w:rsidRPr="009D6DFA">
        <w:rPr>
          <w:noProof/>
          <w:kern w:val="0"/>
          <w:szCs w:val="24"/>
        </w:rPr>
        <w:t>, vol. 133, no. 9, pp. 1–8, 2011, doi: 10.1115/1.4004836.</w:t>
      </w:r>
    </w:p>
    <w:p w14:paraId="0E7C9E0F"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[21]</w:t>
      </w:r>
      <w:r w:rsidRPr="009D6DFA">
        <w:rPr>
          <w:noProof/>
          <w:kern w:val="0"/>
          <w:szCs w:val="24"/>
        </w:rPr>
        <w:tab/>
        <w:t xml:space="preserve">X. Yang, J. P. Schlegel, Y. Liu, S. Paranjape, T. Hibiki, and M. Ishii, “Measurement and modeling of two-phase flow parameters in scaled 8×8 BWR rod bundle,” </w:t>
      </w:r>
      <w:r w:rsidRPr="009D6DFA">
        <w:rPr>
          <w:i/>
          <w:iCs/>
          <w:noProof/>
          <w:kern w:val="0"/>
          <w:szCs w:val="24"/>
        </w:rPr>
        <w:t>Int. J. Heat Fluid Flow</w:t>
      </w:r>
      <w:r w:rsidRPr="009D6DFA">
        <w:rPr>
          <w:noProof/>
          <w:kern w:val="0"/>
          <w:szCs w:val="24"/>
        </w:rPr>
        <w:t>, vol. 34, no. 2012, pp. 85–97, 2012, doi: 10.1016/j.ijheatfluidflow.2012.02.001.</w:t>
      </w:r>
    </w:p>
    <w:p w14:paraId="5DC8563A"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[22]</w:t>
      </w:r>
      <w:r w:rsidRPr="009D6DFA">
        <w:rPr>
          <w:noProof/>
          <w:kern w:val="0"/>
          <w:szCs w:val="24"/>
        </w:rPr>
        <w:tab/>
        <w:t xml:space="preserve">H. Liu and T. Hibiki, “Flow regime transition criteria for upward two-phase flow in vertical rod bundles,” </w:t>
      </w:r>
      <w:r w:rsidRPr="009D6DFA">
        <w:rPr>
          <w:i/>
          <w:iCs/>
          <w:noProof/>
          <w:kern w:val="0"/>
          <w:szCs w:val="24"/>
        </w:rPr>
        <w:t>International Journal of Heat and Mass Transfer</w:t>
      </w:r>
      <w:r w:rsidRPr="009D6DFA">
        <w:rPr>
          <w:noProof/>
          <w:kern w:val="0"/>
          <w:szCs w:val="24"/>
        </w:rPr>
        <w:t>, vol. 108. pp. 423–433, 2017, doi: 10.1016/j.ijheatmasstransfer.2016.12.029.</w:t>
      </w:r>
    </w:p>
    <w:p w14:paraId="69A0D26C"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lastRenderedPageBreak/>
        <w:t>[23]</w:t>
      </w:r>
      <w:r w:rsidRPr="009D6DFA">
        <w:rPr>
          <w:noProof/>
          <w:kern w:val="0"/>
          <w:szCs w:val="24"/>
        </w:rPr>
        <w:tab/>
        <w:t xml:space="preserve">J. Xue, M. Al-dahhan, M. P. Dudukovic, and R. F. Mudde, “Bubble Dynamics Measurements Using Four-Point Optical Probe,” </w:t>
      </w:r>
      <w:r w:rsidRPr="009D6DFA">
        <w:rPr>
          <w:i/>
          <w:iCs/>
          <w:noProof/>
          <w:kern w:val="0"/>
          <w:szCs w:val="24"/>
        </w:rPr>
        <w:t>Can. J. Chem. Eng.</w:t>
      </w:r>
      <w:r w:rsidRPr="009D6DFA">
        <w:rPr>
          <w:noProof/>
          <w:kern w:val="0"/>
          <w:szCs w:val="24"/>
        </w:rPr>
        <w:t>, vol. 81, no. August, pp. 375–381, 2003.</w:t>
      </w:r>
    </w:p>
    <w:p w14:paraId="59B573E4" w14:textId="77777777" w:rsidR="009D6DFA" w:rsidRPr="009D6DFA" w:rsidRDefault="009D6DFA" w:rsidP="009D6DFA">
      <w:pPr>
        <w:widowControl w:val="0"/>
        <w:autoSpaceDE w:val="0"/>
        <w:autoSpaceDN w:val="0"/>
        <w:adjustRightInd w:val="0"/>
        <w:ind w:left="640" w:hanging="640"/>
        <w:rPr>
          <w:noProof/>
          <w:kern w:val="0"/>
          <w:szCs w:val="24"/>
        </w:rPr>
      </w:pPr>
      <w:r w:rsidRPr="009D6DFA">
        <w:rPr>
          <w:noProof/>
          <w:kern w:val="0"/>
          <w:szCs w:val="24"/>
        </w:rPr>
        <w:t>[24]</w:t>
      </w:r>
      <w:r w:rsidRPr="009D6DFA">
        <w:rPr>
          <w:noProof/>
          <w:kern w:val="0"/>
          <w:szCs w:val="24"/>
        </w:rPr>
        <w:tab/>
        <w:t xml:space="preserve">Q. yao Ren, L. ming Pan, W. xiong Zhou, S. jia Du, and Z. chun Li, “Phase distribution characteristics of bubbly flow in 5 × 5 vertical rod bundles with mixing vane spacer grids,” </w:t>
      </w:r>
      <w:r w:rsidRPr="009D6DFA">
        <w:rPr>
          <w:i/>
          <w:iCs/>
          <w:noProof/>
          <w:kern w:val="0"/>
          <w:szCs w:val="24"/>
        </w:rPr>
        <w:t>Exp. Therm. Fluid Sci.</w:t>
      </w:r>
      <w:r w:rsidRPr="009D6DFA">
        <w:rPr>
          <w:noProof/>
          <w:kern w:val="0"/>
          <w:szCs w:val="24"/>
        </w:rPr>
        <w:t>, vol. 96, no. April, pp. 451–459, 2018, doi: 10.1016/j.expthermflusci.2018.04.002.</w:t>
      </w:r>
    </w:p>
    <w:p w14:paraId="212BD8EF" w14:textId="77777777" w:rsidR="009D6DFA" w:rsidRPr="009D6DFA" w:rsidRDefault="009D6DFA" w:rsidP="009D6DFA">
      <w:pPr>
        <w:widowControl w:val="0"/>
        <w:autoSpaceDE w:val="0"/>
        <w:autoSpaceDN w:val="0"/>
        <w:adjustRightInd w:val="0"/>
        <w:ind w:left="640" w:hanging="640"/>
        <w:rPr>
          <w:noProof/>
        </w:rPr>
      </w:pPr>
      <w:r w:rsidRPr="009D6DFA">
        <w:rPr>
          <w:noProof/>
          <w:kern w:val="0"/>
          <w:szCs w:val="24"/>
        </w:rPr>
        <w:t>[25]</w:t>
      </w:r>
      <w:r w:rsidRPr="009D6DFA">
        <w:rPr>
          <w:noProof/>
          <w:kern w:val="0"/>
          <w:szCs w:val="24"/>
        </w:rPr>
        <w:tab/>
        <w:t xml:space="preserve">B. J. Yun, B. U. Bae, D. J. Euh, and C. H. Song, “Experimental investigation of local two-phase flow parameters of a subcooled boiling flow in an annulus,” </w:t>
      </w:r>
      <w:r w:rsidRPr="009D6DFA">
        <w:rPr>
          <w:i/>
          <w:iCs/>
          <w:noProof/>
          <w:kern w:val="0"/>
          <w:szCs w:val="24"/>
        </w:rPr>
        <w:t>Nucl. Eng. Des.</w:t>
      </w:r>
      <w:r w:rsidRPr="009D6DFA">
        <w:rPr>
          <w:noProof/>
          <w:kern w:val="0"/>
          <w:szCs w:val="24"/>
        </w:rPr>
        <w:t>, vol. 240, no. 12, pp. 3956–3966, 2010, doi: 10.1016/j.nucengdes.2010.02.004.</w:t>
      </w:r>
    </w:p>
    <w:p w14:paraId="0B36C2C7" w14:textId="15678184" w:rsidR="00F67BEC" w:rsidRPr="00F67BEC" w:rsidRDefault="00F67BEC" w:rsidP="00F67BEC">
      <w:pPr>
        <w:pStyle w:val="BodyTextIndent"/>
        <w:ind w:firstLine="0"/>
        <w:rPr>
          <w:rtl/>
        </w:rPr>
      </w:pPr>
      <w:r>
        <w:fldChar w:fldCharType="end"/>
      </w:r>
    </w:p>
    <w:sectPr w:rsidR="00F67BEC" w:rsidRPr="00F67BEC" w:rsidSect="00D964A7">
      <w:footerReference w:type="default" r:id="rId31"/>
      <w:type w:val="continuous"/>
      <w:pgSz w:w="12240" w:h="15840"/>
      <w:pgMar w:top="1440" w:right="1080" w:bottom="1440" w:left="1080" w:header="432" w:footer="720" w:gutter="0"/>
      <w:cols w:num="2" w:space="540" w:equalWidth="0">
        <w:col w:w="4770" w:space="540"/>
        <w:col w:w="47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7E71" w14:textId="77777777" w:rsidR="00E05DFF" w:rsidRDefault="00E05DFF">
      <w:r>
        <w:separator/>
      </w:r>
    </w:p>
  </w:endnote>
  <w:endnote w:type="continuationSeparator" w:id="0">
    <w:p w14:paraId="24EFAA5B" w14:textId="77777777" w:rsidR="00E05DFF" w:rsidRDefault="00E0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106444"/>
      <w:docPartObj>
        <w:docPartGallery w:val="Page Numbers (Bottom of Page)"/>
        <w:docPartUnique/>
      </w:docPartObj>
    </w:sdtPr>
    <w:sdtEndPr>
      <w:rPr>
        <w:noProof/>
      </w:rPr>
    </w:sdtEndPr>
    <w:sdtContent>
      <w:p w14:paraId="4BAE5E3E" w14:textId="0B93C50F" w:rsidR="00136502" w:rsidRDefault="001365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63B96" w14:textId="77777777" w:rsidR="00781B6A" w:rsidRDefault="00781B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2AA7" w14:textId="77777777" w:rsidR="00781B6A" w:rsidRDefault="00781B6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BBCF" w14:textId="77777777" w:rsidR="00E05DFF" w:rsidRDefault="00E05DFF">
      <w:r>
        <w:separator/>
      </w:r>
    </w:p>
  </w:footnote>
  <w:footnote w:type="continuationSeparator" w:id="0">
    <w:p w14:paraId="6E1E5F49" w14:textId="77777777" w:rsidR="00E05DFF" w:rsidRDefault="00E0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8A31" w14:textId="61B622CC" w:rsidR="00310711" w:rsidRDefault="00E37DA7" w:rsidP="00310711">
    <w:pPr>
      <w:ind w:right="112"/>
      <w:rPr>
        <w:rFonts w:ascii="Calibri" w:hAnsi="Calibri" w:cs="Calibri"/>
        <w:spacing w:val="-4"/>
        <w:sz w:val="18"/>
        <w:szCs w:val="22"/>
      </w:rPr>
    </w:pPr>
    <w:r>
      <w:rPr>
        <w:rFonts w:ascii="Calibri" w:hAnsi="Calibri" w:cs="Calibri"/>
        <w:noProof/>
        <w:spacing w:val="-4"/>
        <w:sz w:val="18"/>
        <w:szCs w:val="22"/>
      </w:rPr>
      <w:drawing>
        <wp:anchor distT="0" distB="0" distL="114300" distR="114300" simplePos="0" relativeHeight="251658240" behindDoc="0" locked="0" layoutInCell="1" allowOverlap="1" wp14:anchorId="2361E2B9" wp14:editId="749BABF3">
          <wp:simplePos x="0" y="0"/>
          <wp:positionH relativeFrom="column">
            <wp:posOffset>0</wp:posOffset>
          </wp:positionH>
          <wp:positionV relativeFrom="paragraph">
            <wp:posOffset>0</wp:posOffset>
          </wp:positionV>
          <wp:extent cx="2956560" cy="53803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56560" cy="538037"/>
                  </a:xfrm>
                  <a:prstGeom prst="rect">
                    <a:avLst/>
                  </a:prstGeom>
                </pic:spPr>
              </pic:pic>
            </a:graphicData>
          </a:graphic>
        </wp:anchor>
      </w:drawing>
    </w:r>
    <w:r w:rsidR="00310711">
      <w:rPr>
        <w:rFonts w:ascii="Calibri" w:hAnsi="Calibri" w:cs="Calibri"/>
        <w:spacing w:val="-4"/>
        <w:sz w:val="18"/>
        <w:szCs w:val="22"/>
      </w:rPr>
      <w:t xml:space="preserve">                           </w:t>
    </w:r>
  </w:p>
  <w:p w14:paraId="0963291C" w14:textId="0E206B83" w:rsidR="001A7F8D" w:rsidRPr="000B12D5" w:rsidRDefault="00310711" w:rsidP="00310711">
    <w:pPr>
      <w:ind w:left="4320" w:right="112"/>
      <w:jc w:val="right"/>
      <w:rPr>
        <w:rFonts w:asciiTheme="majorBidi" w:hAnsiTheme="majorBidi" w:cstheme="majorBidi"/>
        <w:spacing w:val="-3"/>
        <w:sz w:val="18"/>
        <w:szCs w:val="22"/>
      </w:rPr>
    </w:pPr>
    <w:r>
      <w:rPr>
        <w:rFonts w:ascii="Calibri" w:hAnsi="Calibri" w:cs="Calibri"/>
        <w:spacing w:val="-4"/>
        <w:sz w:val="18"/>
        <w:szCs w:val="22"/>
      </w:rPr>
      <w:t xml:space="preserve">            </w:t>
    </w:r>
    <w:r w:rsidR="001A7F8D" w:rsidRPr="000B12D5">
      <w:rPr>
        <w:rFonts w:asciiTheme="majorBidi" w:hAnsiTheme="majorBidi" w:cstheme="majorBidi"/>
        <w:spacing w:val="-4"/>
        <w:sz w:val="18"/>
        <w:szCs w:val="22"/>
      </w:rPr>
      <w:t xml:space="preserve">Proceedings of </w:t>
    </w:r>
    <w:r w:rsidRPr="000B12D5">
      <w:rPr>
        <w:rFonts w:asciiTheme="majorBidi" w:hAnsiTheme="majorBidi" w:cstheme="majorBidi"/>
        <w:spacing w:val="-3"/>
        <w:sz w:val="18"/>
        <w:szCs w:val="22"/>
      </w:rPr>
      <w:t>SCOPE</w:t>
    </w:r>
  </w:p>
  <w:p w14:paraId="176AE24C" w14:textId="395135B4" w:rsidR="00781B6A" w:rsidRPr="000B12D5" w:rsidRDefault="00310711" w:rsidP="00310711">
    <w:pPr>
      <w:ind w:right="112"/>
      <w:jc w:val="right"/>
      <w:rPr>
        <w:rFonts w:asciiTheme="majorBidi" w:hAnsiTheme="majorBidi" w:cstheme="majorBidi"/>
        <w:sz w:val="18"/>
        <w:szCs w:val="22"/>
      </w:rPr>
    </w:pPr>
    <w:r w:rsidRPr="000B12D5">
      <w:rPr>
        <w:rFonts w:asciiTheme="majorBidi" w:hAnsiTheme="majorBidi" w:cstheme="majorBidi"/>
        <w:spacing w:val="-3"/>
        <w:sz w:val="18"/>
        <w:szCs w:val="22"/>
      </w:rPr>
      <w:t xml:space="preserve">                                                                    13-15</w:t>
    </w:r>
    <w:r w:rsidR="001A7F8D" w:rsidRPr="000B12D5">
      <w:rPr>
        <w:rFonts w:asciiTheme="majorBidi" w:hAnsiTheme="majorBidi" w:cstheme="majorBidi"/>
        <w:spacing w:val="-9"/>
        <w:sz w:val="18"/>
        <w:szCs w:val="22"/>
      </w:rPr>
      <w:t xml:space="preserve"> </w:t>
    </w:r>
    <w:r w:rsidRPr="000B12D5">
      <w:rPr>
        <w:rFonts w:asciiTheme="majorBidi" w:hAnsiTheme="majorBidi" w:cstheme="majorBidi"/>
        <w:spacing w:val="-9"/>
        <w:sz w:val="18"/>
        <w:szCs w:val="22"/>
      </w:rPr>
      <w:t>Nov.</w:t>
    </w:r>
    <w:r w:rsidR="001A7F8D" w:rsidRPr="000B12D5">
      <w:rPr>
        <w:rFonts w:asciiTheme="majorBidi" w:hAnsiTheme="majorBidi" w:cstheme="majorBidi"/>
        <w:spacing w:val="-6"/>
        <w:sz w:val="18"/>
        <w:szCs w:val="22"/>
      </w:rPr>
      <w:t xml:space="preserve"> </w:t>
    </w:r>
    <w:r w:rsidR="001A7F8D" w:rsidRPr="000B12D5">
      <w:rPr>
        <w:rFonts w:asciiTheme="majorBidi" w:hAnsiTheme="majorBidi" w:cstheme="majorBidi"/>
        <w:spacing w:val="-3"/>
        <w:sz w:val="18"/>
        <w:szCs w:val="22"/>
      </w:rPr>
      <w:t>2023</w:t>
    </w:r>
    <w:r w:rsidR="001A7F8D" w:rsidRPr="000B12D5">
      <w:rPr>
        <w:rFonts w:asciiTheme="majorBidi" w:hAnsiTheme="majorBidi" w:cstheme="majorBidi"/>
        <w:spacing w:val="-6"/>
        <w:sz w:val="18"/>
        <w:szCs w:val="22"/>
      </w:rPr>
      <w:t xml:space="preserve"> </w:t>
    </w:r>
    <w:r w:rsidR="001A7F8D" w:rsidRPr="000B12D5">
      <w:rPr>
        <w:rFonts w:asciiTheme="majorBidi" w:hAnsiTheme="majorBidi" w:cstheme="majorBidi"/>
        <w:spacing w:val="-3"/>
        <w:sz w:val="18"/>
        <w:szCs w:val="22"/>
      </w:rPr>
      <w:t>–</w:t>
    </w:r>
    <w:r w:rsidR="001A7F8D" w:rsidRPr="000B12D5">
      <w:rPr>
        <w:rFonts w:asciiTheme="majorBidi" w:hAnsiTheme="majorBidi" w:cstheme="majorBidi"/>
        <w:spacing w:val="-13"/>
        <w:sz w:val="18"/>
        <w:szCs w:val="22"/>
      </w:rPr>
      <w:t xml:space="preserve"> </w:t>
    </w:r>
    <w:r w:rsidRPr="000B12D5">
      <w:rPr>
        <w:rFonts w:asciiTheme="majorBidi" w:hAnsiTheme="majorBidi" w:cstheme="majorBidi"/>
        <w:sz w:val="18"/>
        <w:szCs w:val="22"/>
      </w:rPr>
      <w:t>KFUPM</w:t>
    </w:r>
  </w:p>
  <w:p w14:paraId="7B8603BE" w14:textId="635DFCC6" w:rsidR="00DE2928" w:rsidRPr="000B12D5" w:rsidRDefault="00DE2928" w:rsidP="00310711">
    <w:pPr>
      <w:ind w:right="112"/>
      <w:jc w:val="right"/>
      <w:rPr>
        <w:rFonts w:asciiTheme="majorBidi" w:hAnsiTheme="majorBidi" w:cstheme="majorBidi"/>
        <w:sz w:val="18"/>
        <w:szCs w:val="22"/>
      </w:rPr>
    </w:pPr>
    <w:r w:rsidRPr="000B12D5">
      <w:rPr>
        <w:rFonts w:asciiTheme="majorBidi" w:hAnsiTheme="majorBidi" w:cstheme="majorBidi"/>
        <w:sz w:val="18"/>
        <w:szCs w:val="22"/>
      </w:rPr>
      <w:t xml:space="preserve">Paper </w:t>
    </w:r>
    <w:r w:rsidR="00F45F1D" w:rsidRPr="00F45F1D">
      <w:rPr>
        <w:rFonts w:asciiTheme="majorBidi" w:hAnsiTheme="majorBidi" w:cstheme="majorBidi"/>
        <w:sz w:val="18"/>
        <w:szCs w:val="22"/>
      </w:rPr>
      <w:t>23069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7E3"/>
    <w:multiLevelType w:val="hybridMultilevel"/>
    <w:tmpl w:val="2D7C4F4C"/>
    <w:lvl w:ilvl="0" w:tplc="6E5E6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B7D83"/>
    <w:multiLevelType w:val="hybridMultilevel"/>
    <w:tmpl w:val="9FE0F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6B3F0E"/>
    <w:multiLevelType w:val="hybridMultilevel"/>
    <w:tmpl w:val="1EB43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30357526">
    <w:abstractNumId w:val="2"/>
  </w:num>
  <w:num w:numId="2" w16cid:durableId="276061301">
    <w:abstractNumId w:val="0"/>
  </w:num>
  <w:num w:numId="3" w16cid:durableId="1768423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M0sLS3MDAxMDQwtLIyUdpeDU4uLM/DyQAuNaALEb42AsAAAA"/>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913B5D"/>
    <w:rsid w:val="000000F4"/>
    <w:rsid w:val="00004543"/>
    <w:rsid w:val="00006752"/>
    <w:rsid w:val="00006BFB"/>
    <w:rsid w:val="0001157D"/>
    <w:rsid w:val="000130AC"/>
    <w:rsid w:val="000157C8"/>
    <w:rsid w:val="00015AA1"/>
    <w:rsid w:val="00015E59"/>
    <w:rsid w:val="00023A3B"/>
    <w:rsid w:val="00025F8B"/>
    <w:rsid w:val="00026140"/>
    <w:rsid w:val="00026943"/>
    <w:rsid w:val="0002711B"/>
    <w:rsid w:val="00027B9F"/>
    <w:rsid w:val="00030061"/>
    <w:rsid w:val="00030E0C"/>
    <w:rsid w:val="000323D6"/>
    <w:rsid w:val="000326DF"/>
    <w:rsid w:val="00033B86"/>
    <w:rsid w:val="00033E81"/>
    <w:rsid w:val="000352CB"/>
    <w:rsid w:val="00035577"/>
    <w:rsid w:val="000362FA"/>
    <w:rsid w:val="000401C9"/>
    <w:rsid w:val="000432A6"/>
    <w:rsid w:val="00043959"/>
    <w:rsid w:val="00044427"/>
    <w:rsid w:val="000478EE"/>
    <w:rsid w:val="000502E8"/>
    <w:rsid w:val="000517A5"/>
    <w:rsid w:val="00052CFC"/>
    <w:rsid w:val="00053E2C"/>
    <w:rsid w:val="000579A5"/>
    <w:rsid w:val="000608D5"/>
    <w:rsid w:val="0006289B"/>
    <w:rsid w:val="00062AF4"/>
    <w:rsid w:val="00063040"/>
    <w:rsid w:val="000645EC"/>
    <w:rsid w:val="00064B44"/>
    <w:rsid w:val="00064E2D"/>
    <w:rsid w:val="00065561"/>
    <w:rsid w:val="00065AB0"/>
    <w:rsid w:val="00067935"/>
    <w:rsid w:val="00070D59"/>
    <w:rsid w:val="000716E3"/>
    <w:rsid w:val="00071793"/>
    <w:rsid w:val="00073E45"/>
    <w:rsid w:val="00077779"/>
    <w:rsid w:val="00077C14"/>
    <w:rsid w:val="000846E7"/>
    <w:rsid w:val="000855CC"/>
    <w:rsid w:val="000870A5"/>
    <w:rsid w:val="00090140"/>
    <w:rsid w:val="0009149B"/>
    <w:rsid w:val="00093B37"/>
    <w:rsid w:val="00094D8F"/>
    <w:rsid w:val="00096EEE"/>
    <w:rsid w:val="00097DE8"/>
    <w:rsid w:val="000A096F"/>
    <w:rsid w:val="000A16DE"/>
    <w:rsid w:val="000A2A90"/>
    <w:rsid w:val="000A3163"/>
    <w:rsid w:val="000A3716"/>
    <w:rsid w:val="000A451E"/>
    <w:rsid w:val="000A47E6"/>
    <w:rsid w:val="000A4D3D"/>
    <w:rsid w:val="000A5246"/>
    <w:rsid w:val="000A6FBC"/>
    <w:rsid w:val="000B08AC"/>
    <w:rsid w:val="000B08AE"/>
    <w:rsid w:val="000B12D5"/>
    <w:rsid w:val="000B5AB2"/>
    <w:rsid w:val="000B662F"/>
    <w:rsid w:val="000C07BF"/>
    <w:rsid w:val="000C23D3"/>
    <w:rsid w:val="000C3436"/>
    <w:rsid w:val="000C61A9"/>
    <w:rsid w:val="000C6AE6"/>
    <w:rsid w:val="000C6BDD"/>
    <w:rsid w:val="000D0DDF"/>
    <w:rsid w:val="000D4F7B"/>
    <w:rsid w:val="000D64EF"/>
    <w:rsid w:val="000E50C7"/>
    <w:rsid w:val="000E53D4"/>
    <w:rsid w:val="000F07BE"/>
    <w:rsid w:val="000F112B"/>
    <w:rsid w:val="000F32CD"/>
    <w:rsid w:val="000F450D"/>
    <w:rsid w:val="001003DF"/>
    <w:rsid w:val="00100D5D"/>
    <w:rsid w:val="00101033"/>
    <w:rsid w:val="00104BBF"/>
    <w:rsid w:val="0010732C"/>
    <w:rsid w:val="001108EC"/>
    <w:rsid w:val="0011162D"/>
    <w:rsid w:val="0011226C"/>
    <w:rsid w:val="001127F6"/>
    <w:rsid w:val="00113EBE"/>
    <w:rsid w:val="001143A3"/>
    <w:rsid w:val="0011494B"/>
    <w:rsid w:val="001152EF"/>
    <w:rsid w:val="00122835"/>
    <w:rsid w:val="001234D4"/>
    <w:rsid w:val="00123DB8"/>
    <w:rsid w:val="00124B76"/>
    <w:rsid w:val="00126FDD"/>
    <w:rsid w:val="001323A6"/>
    <w:rsid w:val="0013399B"/>
    <w:rsid w:val="00134E8C"/>
    <w:rsid w:val="00136502"/>
    <w:rsid w:val="0013701F"/>
    <w:rsid w:val="00137AAE"/>
    <w:rsid w:val="0014335D"/>
    <w:rsid w:val="00144145"/>
    <w:rsid w:val="00144313"/>
    <w:rsid w:val="00145265"/>
    <w:rsid w:val="00146002"/>
    <w:rsid w:val="00146253"/>
    <w:rsid w:val="00147863"/>
    <w:rsid w:val="00152DDF"/>
    <w:rsid w:val="0015418B"/>
    <w:rsid w:val="001564FD"/>
    <w:rsid w:val="00161C3B"/>
    <w:rsid w:val="00162337"/>
    <w:rsid w:val="00164DA7"/>
    <w:rsid w:val="00165C66"/>
    <w:rsid w:val="00166607"/>
    <w:rsid w:val="00166645"/>
    <w:rsid w:val="0017254E"/>
    <w:rsid w:val="00172D62"/>
    <w:rsid w:val="001747CC"/>
    <w:rsid w:val="00176B0D"/>
    <w:rsid w:val="001774BE"/>
    <w:rsid w:val="00177800"/>
    <w:rsid w:val="00181498"/>
    <w:rsid w:val="00181CBB"/>
    <w:rsid w:val="00184F70"/>
    <w:rsid w:val="00185B0C"/>
    <w:rsid w:val="00185E8B"/>
    <w:rsid w:val="001862DE"/>
    <w:rsid w:val="00186587"/>
    <w:rsid w:val="00186822"/>
    <w:rsid w:val="00186DDB"/>
    <w:rsid w:val="00186DDC"/>
    <w:rsid w:val="00193214"/>
    <w:rsid w:val="0019473B"/>
    <w:rsid w:val="001A144E"/>
    <w:rsid w:val="001A33D0"/>
    <w:rsid w:val="001A3CBB"/>
    <w:rsid w:val="001A4263"/>
    <w:rsid w:val="001A4EB0"/>
    <w:rsid w:val="001A5040"/>
    <w:rsid w:val="001A5FF4"/>
    <w:rsid w:val="001A6C51"/>
    <w:rsid w:val="001A7378"/>
    <w:rsid w:val="001A7A69"/>
    <w:rsid w:val="001A7F8D"/>
    <w:rsid w:val="001B21E0"/>
    <w:rsid w:val="001B2DFB"/>
    <w:rsid w:val="001B3A2A"/>
    <w:rsid w:val="001B4694"/>
    <w:rsid w:val="001C026C"/>
    <w:rsid w:val="001C1F01"/>
    <w:rsid w:val="001C459B"/>
    <w:rsid w:val="001C5E2D"/>
    <w:rsid w:val="001C6334"/>
    <w:rsid w:val="001C693E"/>
    <w:rsid w:val="001D03C6"/>
    <w:rsid w:val="001D17F1"/>
    <w:rsid w:val="001D6332"/>
    <w:rsid w:val="001E03B8"/>
    <w:rsid w:val="001E056F"/>
    <w:rsid w:val="001E1865"/>
    <w:rsid w:val="001E3C6C"/>
    <w:rsid w:val="001E65EF"/>
    <w:rsid w:val="001E7FDD"/>
    <w:rsid w:val="001F04AA"/>
    <w:rsid w:val="001F0F43"/>
    <w:rsid w:val="001F2821"/>
    <w:rsid w:val="001F2C19"/>
    <w:rsid w:val="001F388A"/>
    <w:rsid w:val="001F38A0"/>
    <w:rsid w:val="001F3B0D"/>
    <w:rsid w:val="001F402F"/>
    <w:rsid w:val="001F4FE3"/>
    <w:rsid w:val="001F7506"/>
    <w:rsid w:val="00200081"/>
    <w:rsid w:val="0020025C"/>
    <w:rsid w:val="00200638"/>
    <w:rsid w:val="0020112B"/>
    <w:rsid w:val="00201DCF"/>
    <w:rsid w:val="0020335C"/>
    <w:rsid w:val="0020376E"/>
    <w:rsid w:val="002041F5"/>
    <w:rsid w:val="002057B8"/>
    <w:rsid w:val="0020598F"/>
    <w:rsid w:val="00206195"/>
    <w:rsid w:val="00207202"/>
    <w:rsid w:val="002107B6"/>
    <w:rsid w:val="00210CE0"/>
    <w:rsid w:val="002133A9"/>
    <w:rsid w:val="0021358C"/>
    <w:rsid w:val="00217F75"/>
    <w:rsid w:val="002214B9"/>
    <w:rsid w:val="00221C6F"/>
    <w:rsid w:val="002227AF"/>
    <w:rsid w:val="0022460A"/>
    <w:rsid w:val="00226BCC"/>
    <w:rsid w:val="00230FA0"/>
    <w:rsid w:val="00232AFB"/>
    <w:rsid w:val="0023327E"/>
    <w:rsid w:val="00233B8B"/>
    <w:rsid w:val="00234A8C"/>
    <w:rsid w:val="00240349"/>
    <w:rsid w:val="00242401"/>
    <w:rsid w:val="002440B4"/>
    <w:rsid w:val="00244370"/>
    <w:rsid w:val="00245136"/>
    <w:rsid w:val="00247D4C"/>
    <w:rsid w:val="00251BAF"/>
    <w:rsid w:val="00251BF7"/>
    <w:rsid w:val="002536B1"/>
    <w:rsid w:val="0025418D"/>
    <w:rsid w:val="002543F9"/>
    <w:rsid w:val="0025707B"/>
    <w:rsid w:val="00261513"/>
    <w:rsid w:val="002639CC"/>
    <w:rsid w:val="00264A97"/>
    <w:rsid w:val="00265B5E"/>
    <w:rsid w:val="00265CD9"/>
    <w:rsid w:val="0026712E"/>
    <w:rsid w:val="00267C32"/>
    <w:rsid w:val="00270059"/>
    <w:rsid w:val="00272073"/>
    <w:rsid w:val="002726E2"/>
    <w:rsid w:val="00274CF5"/>
    <w:rsid w:val="00276484"/>
    <w:rsid w:val="002770F8"/>
    <w:rsid w:val="00280F08"/>
    <w:rsid w:val="00282604"/>
    <w:rsid w:val="002847F0"/>
    <w:rsid w:val="0028567E"/>
    <w:rsid w:val="002865AB"/>
    <w:rsid w:val="002871DD"/>
    <w:rsid w:val="002878A7"/>
    <w:rsid w:val="00290614"/>
    <w:rsid w:val="0029742B"/>
    <w:rsid w:val="002A0A0F"/>
    <w:rsid w:val="002A1A74"/>
    <w:rsid w:val="002A4735"/>
    <w:rsid w:val="002A4D97"/>
    <w:rsid w:val="002A6028"/>
    <w:rsid w:val="002A658D"/>
    <w:rsid w:val="002B07EF"/>
    <w:rsid w:val="002B0908"/>
    <w:rsid w:val="002B1C05"/>
    <w:rsid w:val="002B3EA7"/>
    <w:rsid w:val="002B60BF"/>
    <w:rsid w:val="002B7C24"/>
    <w:rsid w:val="002C0405"/>
    <w:rsid w:val="002C3D7D"/>
    <w:rsid w:val="002C662C"/>
    <w:rsid w:val="002C7F6D"/>
    <w:rsid w:val="002D066D"/>
    <w:rsid w:val="002D08D5"/>
    <w:rsid w:val="002D2605"/>
    <w:rsid w:val="002D2A7F"/>
    <w:rsid w:val="002D2C83"/>
    <w:rsid w:val="002D6D36"/>
    <w:rsid w:val="002E2169"/>
    <w:rsid w:val="002E2B7A"/>
    <w:rsid w:val="002E3134"/>
    <w:rsid w:val="002E3F6E"/>
    <w:rsid w:val="002E4977"/>
    <w:rsid w:val="002E5389"/>
    <w:rsid w:val="002E6B89"/>
    <w:rsid w:val="002F06E3"/>
    <w:rsid w:val="002F26AE"/>
    <w:rsid w:val="002F29E2"/>
    <w:rsid w:val="002F3CBD"/>
    <w:rsid w:val="002F4506"/>
    <w:rsid w:val="002F5B3C"/>
    <w:rsid w:val="002F6906"/>
    <w:rsid w:val="002F6E7E"/>
    <w:rsid w:val="002F7CA3"/>
    <w:rsid w:val="00300569"/>
    <w:rsid w:val="00301337"/>
    <w:rsid w:val="0030497C"/>
    <w:rsid w:val="00305B95"/>
    <w:rsid w:val="00306D3E"/>
    <w:rsid w:val="00306D93"/>
    <w:rsid w:val="00307734"/>
    <w:rsid w:val="00310711"/>
    <w:rsid w:val="00310A0B"/>
    <w:rsid w:val="00313933"/>
    <w:rsid w:val="00313CCF"/>
    <w:rsid w:val="00314B4C"/>
    <w:rsid w:val="003160E2"/>
    <w:rsid w:val="00316448"/>
    <w:rsid w:val="00316800"/>
    <w:rsid w:val="00317368"/>
    <w:rsid w:val="00324B1B"/>
    <w:rsid w:val="00324B37"/>
    <w:rsid w:val="00327977"/>
    <w:rsid w:val="00330723"/>
    <w:rsid w:val="00332A53"/>
    <w:rsid w:val="00346F15"/>
    <w:rsid w:val="00346FAA"/>
    <w:rsid w:val="00350420"/>
    <w:rsid w:val="00354EE0"/>
    <w:rsid w:val="00360585"/>
    <w:rsid w:val="00360815"/>
    <w:rsid w:val="003701B1"/>
    <w:rsid w:val="00371006"/>
    <w:rsid w:val="00371104"/>
    <w:rsid w:val="003713A2"/>
    <w:rsid w:val="003739AB"/>
    <w:rsid w:val="003760C2"/>
    <w:rsid w:val="0038025A"/>
    <w:rsid w:val="00381652"/>
    <w:rsid w:val="0038291C"/>
    <w:rsid w:val="00382FEB"/>
    <w:rsid w:val="0038465D"/>
    <w:rsid w:val="003857DC"/>
    <w:rsid w:val="00385F97"/>
    <w:rsid w:val="00385FCF"/>
    <w:rsid w:val="003876D9"/>
    <w:rsid w:val="00392151"/>
    <w:rsid w:val="003944C4"/>
    <w:rsid w:val="003A23AF"/>
    <w:rsid w:val="003A3C65"/>
    <w:rsid w:val="003B053C"/>
    <w:rsid w:val="003B255C"/>
    <w:rsid w:val="003B4B37"/>
    <w:rsid w:val="003C04DE"/>
    <w:rsid w:val="003C1967"/>
    <w:rsid w:val="003C2872"/>
    <w:rsid w:val="003C4DB9"/>
    <w:rsid w:val="003C5381"/>
    <w:rsid w:val="003C5669"/>
    <w:rsid w:val="003C5C4D"/>
    <w:rsid w:val="003C7465"/>
    <w:rsid w:val="003D5208"/>
    <w:rsid w:val="003D5421"/>
    <w:rsid w:val="003D59F6"/>
    <w:rsid w:val="003E36CA"/>
    <w:rsid w:val="003E51C4"/>
    <w:rsid w:val="003E5DCF"/>
    <w:rsid w:val="003E7424"/>
    <w:rsid w:val="003E7C6A"/>
    <w:rsid w:val="003F2A30"/>
    <w:rsid w:val="003F4C30"/>
    <w:rsid w:val="003F5767"/>
    <w:rsid w:val="00401092"/>
    <w:rsid w:val="004021DD"/>
    <w:rsid w:val="00407FEB"/>
    <w:rsid w:val="00411750"/>
    <w:rsid w:val="00415213"/>
    <w:rsid w:val="004205A7"/>
    <w:rsid w:val="00420E51"/>
    <w:rsid w:val="004227B6"/>
    <w:rsid w:val="004240B0"/>
    <w:rsid w:val="004243F7"/>
    <w:rsid w:val="00424FD1"/>
    <w:rsid w:val="0042537C"/>
    <w:rsid w:val="00426283"/>
    <w:rsid w:val="00426784"/>
    <w:rsid w:val="00426F9A"/>
    <w:rsid w:val="00427BF3"/>
    <w:rsid w:val="004300CC"/>
    <w:rsid w:val="00430792"/>
    <w:rsid w:val="00434C62"/>
    <w:rsid w:val="0043734E"/>
    <w:rsid w:val="00441159"/>
    <w:rsid w:val="00442799"/>
    <w:rsid w:val="00444402"/>
    <w:rsid w:val="00444637"/>
    <w:rsid w:val="00444866"/>
    <w:rsid w:val="00450CF7"/>
    <w:rsid w:val="00451686"/>
    <w:rsid w:val="004525ED"/>
    <w:rsid w:val="00452684"/>
    <w:rsid w:val="004530F8"/>
    <w:rsid w:val="00453847"/>
    <w:rsid w:val="00453A68"/>
    <w:rsid w:val="00454628"/>
    <w:rsid w:val="004546F6"/>
    <w:rsid w:val="004547C5"/>
    <w:rsid w:val="00455EDF"/>
    <w:rsid w:val="00460D2D"/>
    <w:rsid w:val="004641C3"/>
    <w:rsid w:val="00465870"/>
    <w:rsid w:val="0047161F"/>
    <w:rsid w:val="004720F4"/>
    <w:rsid w:val="00472383"/>
    <w:rsid w:val="00472DAA"/>
    <w:rsid w:val="00473FEA"/>
    <w:rsid w:val="004761DB"/>
    <w:rsid w:val="0047641F"/>
    <w:rsid w:val="00480CE9"/>
    <w:rsid w:val="00480F25"/>
    <w:rsid w:val="004825EC"/>
    <w:rsid w:val="0048673E"/>
    <w:rsid w:val="00490CA0"/>
    <w:rsid w:val="004914F2"/>
    <w:rsid w:val="0049262B"/>
    <w:rsid w:val="004938E0"/>
    <w:rsid w:val="00494F85"/>
    <w:rsid w:val="004965CB"/>
    <w:rsid w:val="004A2401"/>
    <w:rsid w:val="004A2AB2"/>
    <w:rsid w:val="004A2DCA"/>
    <w:rsid w:val="004A67B7"/>
    <w:rsid w:val="004B013F"/>
    <w:rsid w:val="004B2A1E"/>
    <w:rsid w:val="004B52C4"/>
    <w:rsid w:val="004B5694"/>
    <w:rsid w:val="004B6CD9"/>
    <w:rsid w:val="004C1193"/>
    <w:rsid w:val="004C157E"/>
    <w:rsid w:val="004C1F91"/>
    <w:rsid w:val="004C2911"/>
    <w:rsid w:val="004C2F09"/>
    <w:rsid w:val="004C5563"/>
    <w:rsid w:val="004C65D9"/>
    <w:rsid w:val="004D2438"/>
    <w:rsid w:val="004D35CF"/>
    <w:rsid w:val="004D5612"/>
    <w:rsid w:val="004D72D7"/>
    <w:rsid w:val="004E05A1"/>
    <w:rsid w:val="004E2FCF"/>
    <w:rsid w:val="004E3000"/>
    <w:rsid w:val="004E7827"/>
    <w:rsid w:val="004E7951"/>
    <w:rsid w:val="004F114D"/>
    <w:rsid w:val="004F1E0E"/>
    <w:rsid w:val="004F266C"/>
    <w:rsid w:val="004F34DD"/>
    <w:rsid w:val="004F490F"/>
    <w:rsid w:val="004F558D"/>
    <w:rsid w:val="004F661D"/>
    <w:rsid w:val="005007BE"/>
    <w:rsid w:val="005009A3"/>
    <w:rsid w:val="005015BD"/>
    <w:rsid w:val="005038DD"/>
    <w:rsid w:val="005044BB"/>
    <w:rsid w:val="005057D0"/>
    <w:rsid w:val="00505D15"/>
    <w:rsid w:val="005067B5"/>
    <w:rsid w:val="005074B6"/>
    <w:rsid w:val="00507DC4"/>
    <w:rsid w:val="0051035A"/>
    <w:rsid w:val="005108E6"/>
    <w:rsid w:val="00510A4D"/>
    <w:rsid w:val="00513D2B"/>
    <w:rsid w:val="0051423C"/>
    <w:rsid w:val="00514AC8"/>
    <w:rsid w:val="005158F3"/>
    <w:rsid w:val="00516979"/>
    <w:rsid w:val="00520402"/>
    <w:rsid w:val="005221B1"/>
    <w:rsid w:val="0052267C"/>
    <w:rsid w:val="00522784"/>
    <w:rsid w:val="00523DD3"/>
    <w:rsid w:val="005256F5"/>
    <w:rsid w:val="00525913"/>
    <w:rsid w:val="005308E4"/>
    <w:rsid w:val="00530D02"/>
    <w:rsid w:val="00532BE4"/>
    <w:rsid w:val="005330FF"/>
    <w:rsid w:val="00533DCF"/>
    <w:rsid w:val="00534D58"/>
    <w:rsid w:val="00536C75"/>
    <w:rsid w:val="00537683"/>
    <w:rsid w:val="0054315C"/>
    <w:rsid w:val="00544377"/>
    <w:rsid w:val="00545E20"/>
    <w:rsid w:val="00547F17"/>
    <w:rsid w:val="0055141D"/>
    <w:rsid w:val="00554974"/>
    <w:rsid w:val="00555C3B"/>
    <w:rsid w:val="00557DC3"/>
    <w:rsid w:val="005602FF"/>
    <w:rsid w:val="005613E3"/>
    <w:rsid w:val="00561C46"/>
    <w:rsid w:val="00561D4C"/>
    <w:rsid w:val="0056251A"/>
    <w:rsid w:val="0056262D"/>
    <w:rsid w:val="005627FE"/>
    <w:rsid w:val="00562D01"/>
    <w:rsid w:val="0056302C"/>
    <w:rsid w:val="0056573B"/>
    <w:rsid w:val="005657CC"/>
    <w:rsid w:val="00566ABB"/>
    <w:rsid w:val="00566E6A"/>
    <w:rsid w:val="00570103"/>
    <w:rsid w:val="005731FE"/>
    <w:rsid w:val="00573B83"/>
    <w:rsid w:val="00573D14"/>
    <w:rsid w:val="00576055"/>
    <w:rsid w:val="00576316"/>
    <w:rsid w:val="0058127D"/>
    <w:rsid w:val="00581BCF"/>
    <w:rsid w:val="005831DF"/>
    <w:rsid w:val="00585533"/>
    <w:rsid w:val="00585534"/>
    <w:rsid w:val="005860C0"/>
    <w:rsid w:val="005875A9"/>
    <w:rsid w:val="00587923"/>
    <w:rsid w:val="00587F5E"/>
    <w:rsid w:val="00590491"/>
    <w:rsid w:val="00594C9E"/>
    <w:rsid w:val="00594D1B"/>
    <w:rsid w:val="00597468"/>
    <w:rsid w:val="00597529"/>
    <w:rsid w:val="005A15EC"/>
    <w:rsid w:val="005A4C75"/>
    <w:rsid w:val="005A70FF"/>
    <w:rsid w:val="005A7156"/>
    <w:rsid w:val="005B0FCE"/>
    <w:rsid w:val="005B1843"/>
    <w:rsid w:val="005B73E7"/>
    <w:rsid w:val="005C19CF"/>
    <w:rsid w:val="005C1C86"/>
    <w:rsid w:val="005C3558"/>
    <w:rsid w:val="005C3FA4"/>
    <w:rsid w:val="005C44E6"/>
    <w:rsid w:val="005C775B"/>
    <w:rsid w:val="005D0C41"/>
    <w:rsid w:val="005D37E8"/>
    <w:rsid w:val="005D3E89"/>
    <w:rsid w:val="005D6B1B"/>
    <w:rsid w:val="005E09EA"/>
    <w:rsid w:val="005E19F2"/>
    <w:rsid w:val="005E3BC3"/>
    <w:rsid w:val="005E4AD6"/>
    <w:rsid w:val="005E4D01"/>
    <w:rsid w:val="005E5C8C"/>
    <w:rsid w:val="005E780E"/>
    <w:rsid w:val="005F026B"/>
    <w:rsid w:val="005F0B59"/>
    <w:rsid w:val="005F0F06"/>
    <w:rsid w:val="005F138A"/>
    <w:rsid w:val="005F1EC6"/>
    <w:rsid w:val="005F1F56"/>
    <w:rsid w:val="005F25AF"/>
    <w:rsid w:val="005F2677"/>
    <w:rsid w:val="005F751C"/>
    <w:rsid w:val="005F7962"/>
    <w:rsid w:val="006012ED"/>
    <w:rsid w:val="00601EAA"/>
    <w:rsid w:val="006021F0"/>
    <w:rsid w:val="00602E4E"/>
    <w:rsid w:val="006038C8"/>
    <w:rsid w:val="00604928"/>
    <w:rsid w:val="0060646F"/>
    <w:rsid w:val="006064B5"/>
    <w:rsid w:val="0060700E"/>
    <w:rsid w:val="00607270"/>
    <w:rsid w:val="0060732D"/>
    <w:rsid w:val="0061055E"/>
    <w:rsid w:val="00613E73"/>
    <w:rsid w:val="006153EB"/>
    <w:rsid w:val="00616141"/>
    <w:rsid w:val="00616FA8"/>
    <w:rsid w:val="00617093"/>
    <w:rsid w:val="0062053F"/>
    <w:rsid w:val="006224D9"/>
    <w:rsid w:val="00623EB4"/>
    <w:rsid w:val="00626084"/>
    <w:rsid w:val="00626278"/>
    <w:rsid w:val="006272E4"/>
    <w:rsid w:val="00627E0A"/>
    <w:rsid w:val="00631E25"/>
    <w:rsid w:val="00632B66"/>
    <w:rsid w:val="006345A5"/>
    <w:rsid w:val="0063515A"/>
    <w:rsid w:val="00637D5B"/>
    <w:rsid w:val="00645BD3"/>
    <w:rsid w:val="00654A9B"/>
    <w:rsid w:val="00655533"/>
    <w:rsid w:val="006557D6"/>
    <w:rsid w:val="00655A0D"/>
    <w:rsid w:val="00655E2E"/>
    <w:rsid w:val="00656B9D"/>
    <w:rsid w:val="0065723F"/>
    <w:rsid w:val="006620B6"/>
    <w:rsid w:val="00662B6F"/>
    <w:rsid w:val="00662C29"/>
    <w:rsid w:val="006642F1"/>
    <w:rsid w:val="006659C4"/>
    <w:rsid w:val="006665EC"/>
    <w:rsid w:val="00667AEC"/>
    <w:rsid w:val="006703A0"/>
    <w:rsid w:val="00670B3B"/>
    <w:rsid w:val="00671920"/>
    <w:rsid w:val="006739E5"/>
    <w:rsid w:val="00674390"/>
    <w:rsid w:val="0067781F"/>
    <w:rsid w:val="0068007E"/>
    <w:rsid w:val="0068132B"/>
    <w:rsid w:val="00681551"/>
    <w:rsid w:val="0068332E"/>
    <w:rsid w:val="006835B9"/>
    <w:rsid w:val="00683B25"/>
    <w:rsid w:val="006862E5"/>
    <w:rsid w:val="006903A9"/>
    <w:rsid w:val="00690EF4"/>
    <w:rsid w:val="00692A57"/>
    <w:rsid w:val="0069338B"/>
    <w:rsid w:val="006944E1"/>
    <w:rsid w:val="006948D8"/>
    <w:rsid w:val="00695573"/>
    <w:rsid w:val="006973AF"/>
    <w:rsid w:val="00697D3A"/>
    <w:rsid w:val="006A097E"/>
    <w:rsid w:val="006A10A0"/>
    <w:rsid w:val="006A1210"/>
    <w:rsid w:val="006A280C"/>
    <w:rsid w:val="006A4F89"/>
    <w:rsid w:val="006B0076"/>
    <w:rsid w:val="006B28AD"/>
    <w:rsid w:val="006B292F"/>
    <w:rsid w:val="006B4992"/>
    <w:rsid w:val="006B4E9C"/>
    <w:rsid w:val="006B5E37"/>
    <w:rsid w:val="006B5EEB"/>
    <w:rsid w:val="006C09D7"/>
    <w:rsid w:val="006C0B0F"/>
    <w:rsid w:val="006C1B4D"/>
    <w:rsid w:val="006C20F3"/>
    <w:rsid w:val="006C2DB8"/>
    <w:rsid w:val="006C40B4"/>
    <w:rsid w:val="006C5AE8"/>
    <w:rsid w:val="006D0052"/>
    <w:rsid w:val="006D0C33"/>
    <w:rsid w:val="006D2A80"/>
    <w:rsid w:val="006D3AC9"/>
    <w:rsid w:val="006D6516"/>
    <w:rsid w:val="006D6716"/>
    <w:rsid w:val="006D684F"/>
    <w:rsid w:val="006D72EF"/>
    <w:rsid w:val="006E2464"/>
    <w:rsid w:val="006E3070"/>
    <w:rsid w:val="006E7CA6"/>
    <w:rsid w:val="006F0912"/>
    <w:rsid w:val="006F102C"/>
    <w:rsid w:val="006F5B50"/>
    <w:rsid w:val="006F610C"/>
    <w:rsid w:val="006F7054"/>
    <w:rsid w:val="007001C8"/>
    <w:rsid w:val="00702DE2"/>
    <w:rsid w:val="0070468D"/>
    <w:rsid w:val="00704987"/>
    <w:rsid w:val="00704EA0"/>
    <w:rsid w:val="00705D72"/>
    <w:rsid w:val="00707386"/>
    <w:rsid w:val="00707A90"/>
    <w:rsid w:val="007110D1"/>
    <w:rsid w:val="00712EBB"/>
    <w:rsid w:val="0071692D"/>
    <w:rsid w:val="00717F50"/>
    <w:rsid w:val="0072100C"/>
    <w:rsid w:val="00724E21"/>
    <w:rsid w:val="00725EB7"/>
    <w:rsid w:val="00727504"/>
    <w:rsid w:val="0073022F"/>
    <w:rsid w:val="00734EB1"/>
    <w:rsid w:val="00737A1D"/>
    <w:rsid w:val="007401C3"/>
    <w:rsid w:val="00742123"/>
    <w:rsid w:val="007425BE"/>
    <w:rsid w:val="00743CE8"/>
    <w:rsid w:val="00743DF8"/>
    <w:rsid w:val="00744F88"/>
    <w:rsid w:val="00746D2C"/>
    <w:rsid w:val="007519B9"/>
    <w:rsid w:val="00753A7A"/>
    <w:rsid w:val="00756D52"/>
    <w:rsid w:val="0076091A"/>
    <w:rsid w:val="0076156F"/>
    <w:rsid w:val="00762C57"/>
    <w:rsid w:val="00766047"/>
    <w:rsid w:val="0077005B"/>
    <w:rsid w:val="00770C54"/>
    <w:rsid w:val="00771D0A"/>
    <w:rsid w:val="007726A8"/>
    <w:rsid w:val="007733EF"/>
    <w:rsid w:val="0077350E"/>
    <w:rsid w:val="00773BBC"/>
    <w:rsid w:val="00774723"/>
    <w:rsid w:val="0077610A"/>
    <w:rsid w:val="00776737"/>
    <w:rsid w:val="007819B4"/>
    <w:rsid w:val="00781B6A"/>
    <w:rsid w:val="00782623"/>
    <w:rsid w:val="00782BB9"/>
    <w:rsid w:val="00783996"/>
    <w:rsid w:val="00784F90"/>
    <w:rsid w:val="00786E8E"/>
    <w:rsid w:val="00787C93"/>
    <w:rsid w:val="00791FD6"/>
    <w:rsid w:val="00792AF3"/>
    <w:rsid w:val="00792EFA"/>
    <w:rsid w:val="00795AA9"/>
    <w:rsid w:val="00796413"/>
    <w:rsid w:val="007A0C59"/>
    <w:rsid w:val="007A10C8"/>
    <w:rsid w:val="007A12C9"/>
    <w:rsid w:val="007A17AC"/>
    <w:rsid w:val="007A1B1F"/>
    <w:rsid w:val="007A2110"/>
    <w:rsid w:val="007A246F"/>
    <w:rsid w:val="007A2F6E"/>
    <w:rsid w:val="007A31F1"/>
    <w:rsid w:val="007A39FA"/>
    <w:rsid w:val="007A4538"/>
    <w:rsid w:val="007A72A3"/>
    <w:rsid w:val="007A749B"/>
    <w:rsid w:val="007A777C"/>
    <w:rsid w:val="007B0A22"/>
    <w:rsid w:val="007B3977"/>
    <w:rsid w:val="007B49F8"/>
    <w:rsid w:val="007B6191"/>
    <w:rsid w:val="007B6D35"/>
    <w:rsid w:val="007B7152"/>
    <w:rsid w:val="007C14C0"/>
    <w:rsid w:val="007C2C4F"/>
    <w:rsid w:val="007C31BF"/>
    <w:rsid w:val="007C3FF5"/>
    <w:rsid w:val="007D0C0E"/>
    <w:rsid w:val="007D3BA4"/>
    <w:rsid w:val="007D6680"/>
    <w:rsid w:val="007E03EF"/>
    <w:rsid w:val="007E0461"/>
    <w:rsid w:val="007E0586"/>
    <w:rsid w:val="007E1E77"/>
    <w:rsid w:val="007E3781"/>
    <w:rsid w:val="007E43D7"/>
    <w:rsid w:val="007F05B6"/>
    <w:rsid w:val="007F0611"/>
    <w:rsid w:val="007F0F92"/>
    <w:rsid w:val="007F218A"/>
    <w:rsid w:val="007F2518"/>
    <w:rsid w:val="007F3DD5"/>
    <w:rsid w:val="007F4026"/>
    <w:rsid w:val="008017F4"/>
    <w:rsid w:val="008026EF"/>
    <w:rsid w:val="00802E0C"/>
    <w:rsid w:val="00803813"/>
    <w:rsid w:val="008061F1"/>
    <w:rsid w:val="00806DFA"/>
    <w:rsid w:val="00811E62"/>
    <w:rsid w:val="00816CB5"/>
    <w:rsid w:val="00817B7D"/>
    <w:rsid w:val="008206A9"/>
    <w:rsid w:val="00821F2D"/>
    <w:rsid w:val="00823142"/>
    <w:rsid w:val="00823DC4"/>
    <w:rsid w:val="008278A6"/>
    <w:rsid w:val="00832BDB"/>
    <w:rsid w:val="00833819"/>
    <w:rsid w:val="00833E51"/>
    <w:rsid w:val="008373C9"/>
    <w:rsid w:val="008374FE"/>
    <w:rsid w:val="00840931"/>
    <w:rsid w:val="00842CA1"/>
    <w:rsid w:val="008435D9"/>
    <w:rsid w:val="00845AA8"/>
    <w:rsid w:val="00845D15"/>
    <w:rsid w:val="00853197"/>
    <w:rsid w:val="008533CF"/>
    <w:rsid w:val="00856AB1"/>
    <w:rsid w:val="00857912"/>
    <w:rsid w:val="00860AF7"/>
    <w:rsid w:val="00860D63"/>
    <w:rsid w:val="00862DE7"/>
    <w:rsid w:val="00862FD3"/>
    <w:rsid w:val="008630CA"/>
    <w:rsid w:val="00863ED1"/>
    <w:rsid w:val="008647AE"/>
    <w:rsid w:val="008664FA"/>
    <w:rsid w:val="00867316"/>
    <w:rsid w:val="0087035B"/>
    <w:rsid w:val="00872C4D"/>
    <w:rsid w:val="008732A0"/>
    <w:rsid w:val="0087597F"/>
    <w:rsid w:val="00875B2D"/>
    <w:rsid w:val="00875FDE"/>
    <w:rsid w:val="0088365A"/>
    <w:rsid w:val="008855DC"/>
    <w:rsid w:val="0088572C"/>
    <w:rsid w:val="008900A0"/>
    <w:rsid w:val="008904F8"/>
    <w:rsid w:val="00890B80"/>
    <w:rsid w:val="008915EF"/>
    <w:rsid w:val="008919D7"/>
    <w:rsid w:val="00891A2E"/>
    <w:rsid w:val="00891BA0"/>
    <w:rsid w:val="00891C89"/>
    <w:rsid w:val="00892DE3"/>
    <w:rsid w:val="00893BBD"/>
    <w:rsid w:val="00893DB3"/>
    <w:rsid w:val="00893E4B"/>
    <w:rsid w:val="0089629F"/>
    <w:rsid w:val="008A02E7"/>
    <w:rsid w:val="008A34E6"/>
    <w:rsid w:val="008A4D36"/>
    <w:rsid w:val="008B0BC7"/>
    <w:rsid w:val="008B1493"/>
    <w:rsid w:val="008B16A9"/>
    <w:rsid w:val="008B2E9C"/>
    <w:rsid w:val="008B489F"/>
    <w:rsid w:val="008B5EC6"/>
    <w:rsid w:val="008C13D2"/>
    <w:rsid w:val="008C1429"/>
    <w:rsid w:val="008C17E8"/>
    <w:rsid w:val="008C2A1E"/>
    <w:rsid w:val="008C3C38"/>
    <w:rsid w:val="008C693D"/>
    <w:rsid w:val="008D2D42"/>
    <w:rsid w:val="008D3148"/>
    <w:rsid w:val="008D3616"/>
    <w:rsid w:val="008D3DA5"/>
    <w:rsid w:val="008D5921"/>
    <w:rsid w:val="008D603D"/>
    <w:rsid w:val="008D78E4"/>
    <w:rsid w:val="008E18D7"/>
    <w:rsid w:val="008E1B07"/>
    <w:rsid w:val="008E1E6A"/>
    <w:rsid w:val="008E510F"/>
    <w:rsid w:val="008E51D2"/>
    <w:rsid w:val="008E5450"/>
    <w:rsid w:val="008E54F5"/>
    <w:rsid w:val="008E5BBE"/>
    <w:rsid w:val="008E6B9D"/>
    <w:rsid w:val="008F0BF9"/>
    <w:rsid w:val="008F1432"/>
    <w:rsid w:val="008F1F20"/>
    <w:rsid w:val="008F2676"/>
    <w:rsid w:val="008F2A7D"/>
    <w:rsid w:val="008F3703"/>
    <w:rsid w:val="008F37C2"/>
    <w:rsid w:val="008F5451"/>
    <w:rsid w:val="008F65E9"/>
    <w:rsid w:val="008F76FE"/>
    <w:rsid w:val="00903979"/>
    <w:rsid w:val="00905590"/>
    <w:rsid w:val="00906E89"/>
    <w:rsid w:val="00910726"/>
    <w:rsid w:val="0091341B"/>
    <w:rsid w:val="00913B5D"/>
    <w:rsid w:val="009154AE"/>
    <w:rsid w:val="009157FA"/>
    <w:rsid w:val="00915E35"/>
    <w:rsid w:val="009171C5"/>
    <w:rsid w:val="00922049"/>
    <w:rsid w:val="0092552F"/>
    <w:rsid w:val="009278D3"/>
    <w:rsid w:val="00930621"/>
    <w:rsid w:val="00930B11"/>
    <w:rsid w:val="009357CA"/>
    <w:rsid w:val="00937A1D"/>
    <w:rsid w:val="00940273"/>
    <w:rsid w:val="00940950"/>
    <w:rsid w:val="00940F0A"/>
    <w:rsid w:val="00941381"/>
    <w:rsid w:val="0094343E"/>
    <w:rsid w:val="009448A4"/>
    <w:rsid w:val="00944A8E"/>
    <w:rsid w:val="00944F70"/>
    <w:rsid w:val="0094795A"/>
    <w:rsid w:val="00951248"/>
    <w:rsid w:val="00951A28"/>
    <w:rsid w:val="00953218"/>
    <w:rsid w:val="00955727"/>
    <w:rsid w:val="00955EEA"/>
    <w:rsid w:val="009579E0"/>
    <w:rsid w:val="009605B5"/>
    <w:rsid w:val="00961716"/>
    <w:rsid w:val="009630A6"/>
    <w:rsid w:val="009630BA"/>
    <w:rsid w:val="009641E2"/>
    <w:rsid w:val="00964CDA"/>
    <w:rsid w:val="0096551A"/>
    <w:rsid w:val="00967979"/>
    <w:rsid w:val="00972F9E"/>
    <w:rsid w:val="00975101"/>
    <w:rsid w:val="00975B7E"/>
    <w:rsid w:val="0097606B"/>
    <w:rsid w:val="00977259"/>
    <w:rsid w:val="0098006F"/>
    <w:rsid w:val="0098102A"/>
    <w:rsid w:val="00981361"/>
    <w:rsid w:val="00982D75"/>
    <w:rsid w:val="0098307B"/>
    <w:rsid w:val="00985621"/>
    <w:rsid w:val="00986CE1"/>
    <w:rsid w:val="0098713A"/>
    <w:rsid w:val="00991E95"/>
    <w:rsid w:val="00992302"/>
    <w:rsid w:val="00992D3A"/>
    <w:rsid w:val="009934D8"/>
    <w:rsid w:val="00994728"/>
    <w:rsid w:val="009A11FB"/>
    <w:rsid w:val="009A2A5C"/>
    <w:rsid w:val="009A372E"/>
    <w:rsid w:val="009A3FDF"/>
    <w:rsid w:val="009A5BFF"/>
    <w:rsid w:val="009A608C"/>
    <w:rsid w:val="009B071A"/>
    <w:rsid w:val="009B1D10"/>
    <w:rsid w:val="009B60CB"/>
    <w:rsid w:val="009B767B"/>
    <w:rsid w:val="009C0969"/>
    <w:rsid w:val="009C10B0"/>
    <w:rsid w:val="009C140D"/>
    <w:rsid w:val="009C411D"/>
    <w:rsid w:val="009C7CE4"/>
    <w:rsid w:val="009C7D0A"/>
    <w:rsid w:val="009D19FD"/>
    <w:rsid w:val="009D401C"/>
    <w:rsid w:val="009D434B"/>
    <w:rsid w:val="009D43EE"/>
    <w:rsid w:val="009D6DFA"/>
    <w:rsid w:val="009E0716"/>
    <w:rsid w:val="009E2452"/>
    <w:rsid w:val="009E2ECF"/>
    <w:rsid w:val="009E38C7"/>
    <w:rsid w:val="009E5005"/>
    <w:rsid w:val="009E760E"/>
    <w:rsid w:val="009F0797"/>
    <w:rsid w:val="009F0D00"/>
    <w:rsid w:val="009F22C8"/>
    <w:rsid w:val="009F36D7"/>
    <w:rsid w:val="009F65D3"/>
    <w:rsid w:val="009F69B0"/>
    <w:rsid w:val="00A00E16"/>
    <w:rsid w:val="00A01A17"/>
    <w:rsid w:val="00A01B91"/>
    <w:rsid w:val="00A03C8F"/>
    <w:rsid w:val="00A03CED"/>
    <w:rsid w:val="00A0476B"/>
    <w:rsid w:val="00A05A6E"/>
    <w:rsid w:val="00A06292"/>
    <w:rsid w:val="00A06E7D"/>
    <w:rsid w:val="00A10E64"/>
    <w:rsid w:val="00A12DFF"/>
    <w:rsid w:val="00A23442"/>
    <w:rsid w:val="00A24503"/>
    <w:rsid w:val="00A251D3"/>
    <w:rsid w:val="00A31204"/>
    <w:rsid w:val="00A3380D"/>
    <w:rsid w:val="00A339B5"/>
    <w:rsid w:val="00A346F8"/>
    <w:rsid w:val="00A359A1"/>
    <w:rsid w:val="00A42595"/>
    <w:rsid w:val="00A427E8"/>
    <w:rsid w:val="00A45B5D"/>
    <w:rsid w:val="00A47F5B"/>
    <w:rsid w:val="00A47FC3"/>
    <w:rsid w:val="00A51087"/>
    <w:rsid w:val="00A51EC5"/>
    <w:rsid w:val="00A5282C"/>
    <w:rsid w:val="00A54369"/>
    <w:rsid w:val="00A549BD"/>
    <w:rsid w:val="00A54BC9"/>
    <w:rsid w:val="00A54C12"/>
    <w:rsid w:val="00A54F6E"/>
    <w:rsid w:val="00A551DA"/>
    <w:rsid w:val="00A559CF"/>
    <w:rsid w:val="00A56710"/>
    <w:rsid w:val="00A56B6B"/>
    <w:rsid w:val="00A573A3"/>
    <w:rsid w:val="00A63C06"/>
    <w:rsid w:val="00A643C1"/>
    <w:rsid w:val="00A64CCB"/>
    <w:rsid w:val="00A70E7B"/>
    <w:rsid w:val="00A72921"/>
    <w:rsid w:val="00A735C9"/>
    <w:rsid w:val="00A73779"/>
    <w:rsid w:val="00A737AA"/>
    <w:rsid w:val="00A73D5C"/>
    <w:rsid w:val="00A74A86"/>
    <w:rsid w:val="00A750B3"/>
    <w:rsid w:val="00A769C3"/>
    <w:rsid w:val="00A77F55"/>
    <w:rsid w:val="00A806AB"/>
    <w:rsid w:val="00A81A44"/>
    <w:rsid w:val="00A81A56"/>
    <w:rsid w:val="00A84DA7"/>
    <w:rsid w:val="00A912D1"/>
    <w:rsid w:val="00A91D9E"/>
    <w:rsid w:val="00A92875"/>
    <w:rsid w:val="00A94ED1"/>
    <w:rsid w:val="00A963D3"/>
    <w:rsid w:val="00A96735"/>
    <w:rsid w:val="00A97D5F"/>
    <w:rsid w:val="00AA3694"/>
    <w:rsid w:val="00AA3AB1"/>
    <w:rsid w:val="00AA73F9"/>
    <w:rsid w:val="00AA7E6A"/>
    <w:rsid w:val="00AB041E"/>
    <w:rsid w:val="00AB3157"/>
    <w:rsid w:val="00AB4097"/>
    <w:rsid w:val="00AB4F5C"/>
    <w:rsid w:val="00AB6070"/>
    <w:rsid w:val="00AB6E7C"/>
    <w:rsid w:val="00AB72FB"/>
    <w:rsid w:val="00AC07F6"/>
    <w:rsid w:val="00AC28D1"/>
    <w:rsid w:val="00AC33D2"/>
    <w:rsid w:val="00AC4C5D"/>
    <w:rsid w:val="00AC646D"/>
    <w:rsid w:val="00AC756B"/>
    <w:rsid w:val="00AD11A0"/>
    <w:rsid w:val="00AD1359"/>
    <w:rsid w:val="00AD17E9"/>
    <w:rsid w:val="00AD3032"/>
    <w:rsid w:val="00AD4624"/>
    <w:rsid w:val="00AD4C4F"/>
    <w:rsid w:val="00AD6378"/>
    <w:rsid w:val="00AE00BF"/>
    <w:rsid w:val="00AE0830"/>
    <w:rsid w:val="00AE2B8F"/>
    <w:rsid w:val="00AE3385"/>
    <w:rsid w:val="00AE357E"/>
    <w:rsid w:val="00AE41B1"/>
    <w:rsid w:val="00AE42F3"/>
    <w:rsid w:val="00AE4607"/>
    <w:rsid w:val="00AF21A4"/>
    <w:rsid w:val="00AF329F"/>
    <w:rsid w:val="00AF65C0"/>
    <w:rsid w:val="00AF7D38"/>
    <w:rsid w:val="00B0132F"/>
    <w:rsid w:val="00B017CA"/>
    <w:rsid w:val="00B0233B"/>
    <w:rsid w:val="00B027BC"/>
    <w:rsid w:val="00B029D3"/>
    <w:rsid w:val="00B03844"/>
    <w:rsid w:val="00B04599"/>
    <w:rsid w:val="00B04857"/>
    <w:rsid w:val="00B04A57"/>
    <w:rsid w:val="00B05713"/>
    <w:rsid w:val="00B10003"/>
    <w:rsid w:val="00B1089C"/>
    <w:rsid w:val="00B154D8"/>
    <w:rsid w:val="00B15B3C"/>
    <w:rsid w:val="00B210B0"/>
    <w:rsid w:val="00B21537"/>
    <w:rsid w:val="00B22151"/>
    <w:rsid w:val="00B22DA9"/>
    <w:rsid w:val="00B23A11"/>
    <w:rsid w:val="00B27AE1"/>
    <w:rsid w:val="00B30325"/>
    <w:rsid w:val="00B334E1"/>
    <w:rsid w:val="00B33525"/>
    <w:rsid w:val="00B33FC7"/>
    <w:rsid w:val="00B36733"/>
    <w:rsid w:val="00B372B6"/>
    <w:rsid w:val="00B427FA"/>
    <w:rsid w:val="00B4285D"/>
    <w:rsid w:val="00B428BE"/>
    <w:rsid w:val="00B43BD3"/>
    <w:rsid w:val="00B46F43"/>
    <w:rsid w:val="00B47CB7"/>
    <w:rsid w:val="00B47EF9"/>
    <w:rsid w:val="00B52D14"/>
    <w:rsid w:val="00B53DEA"/>
    <w:rsid w:val="00B5470C"/>
    <w:rsid w:val="00B54E87"/>
    <w:rsid w:val="00B55533"/>
    <w:rsid w:val="00B5762F"/>
    <w:rsid w:val="00B6018C"/>
    <w:rsid w:val="00B6146F"/>
    <w:rsid w:val="00B619B1"/>
    <w:rsid w:val="00B62A70"/>
    <w:rsid w:val="00B63242"/>
    <w:rsid w:val="00B66C74"/>
    <w:rsid w:val="00B714E9"/>
    <w:rsid w:val="00B71AED"/>
    <w:rsid w:val="00B72C2E"/>
    <w:rsid w:val="00B73B1F"/>
    <w:rsid w:val="00B75A59"/>
    <w:rsid w:val="00B76139"/>
    <w:rsid w:val="00B76372"/>
    <w:rsid w:val="00B80061"/>
    <w:rsid w:val="00B80724"/>
    <w:rsid w:val="00B809F1"/>
    <w:rsid w:val="00B80A76"/>
    <w:rsid w:val="00B82AFA"/>
    <w:rsid w:val="00B8486C"/>
    <w:rsid w:val="00B84A26"/>
    <w:rsid w:val="00B86261"/>
    <w:rsid w:val="00B86F9E"/>
    <w:rsid w:val="00B90C92"/>
    <w:rsid w:val="00B93202"/>
    <w:rsid w:val="00B935D7"/>
    <w:rsid w:val="00B93933"/>
    <w:rsid w:val="00B946FA"/>
    <w:rsid w:val="00B97677"/>
    <w:rsid w:val="00B97F7C"/>
    <w:rsid w:val="00BA0CD0"/>
    <w:rsid w:val="00BA0F14"/>
    <w:rsid w:val="00BA71D9"/>
    <w:rsid w:val="00BA7D11"/>
    <w:rsid w:val="00BB0873"/>
    <w:rsid w:val="00BB3255"/>
    <w:rsid w:val="00BB3643"/>
    <w:rsid w:val="00BB5070"/>
    <w:rsid w:val="00BB5A71"/>
    <w:rsid w:val="00BB6725"/>
    <w:rsid w:val="00BB7497"/>
    <w:rsid w:val="00BC2C45"/>
    <w:rsid w:val="00BC2DFE"/>
    <w:rsid w:val="00BC4314"/>
    <w:rsid w:val="00BC44BA"/>
    <w:rsid w:val="00BC56AE"/>
    <w:rsid w:val="00BC5FC4"/>
    <w:rsid w:val="00BC6A1B"/>
    <w:rsid w:val="00BD000A"/>
    <w:rsid w:val="00BD0F99"/>
    <w:rsid w:val="00BD66E8"/>
    <w:rsid w:val="00BE171A"/>
    <w:rsid w:val="00BE23D9"/>
    <w:rsid w:val="00BE2671"/>
    <w:rsid w:val="00BE2B33"/>
    <w:rsid w:val="00BE6A50"/>
    <w:rsid w:val="00BF714E"/>
    <w:rsid w:val="00BF7D50"/>
    <w:rsid w:val="00C02482"/>
    <w:rsid w:val="00C02F0C"/>
    <w:rsid w:val="00C04210"/>
    <w:rsid w:val="00C0478B"/>
    <w:rsid w:val="00C0588F"/>
    <w:rsid w:val="00C05A51"/>
    <w:rsid w:val="00C06212"/>
    <w:rsid w:val="00C12DE7"/>
    <w:rsid w:val="00C13B01"/>
    <w:rsid w:val="00C14512"/>
    <w:rsid w:val="00C14FC6"/>
    <w:rsid w:val="00C15FA2"/>
    <w:rsid w:val="00C16186"/>
    <w:rsid w:val="00C1682F"/>
    <w:rsid w:val="00C1733A"/>
    <w:rsid w:val="00C213E6"/>
    <w:rsid w:val="00C23D8E"/>
    <w:rsid w:val="00C24F1D"/>
    <w:rsid w:val="00C26700"/>
    <w:rsid w:val="00C322DD"/>
    <w:rsid w:val="00C32DA2"/>
    <w:rsid w:val="00C32EA5"/>
    <w:rsid w:val="00C34658"/>
    <w:rsid w:val="00C35C12"/>
    <w:rsid w:val="00C37613"/>
    <w:rsid w:val="00C37639"/>
    <w:rsid w:val="00C4452A"/>
    <w:rsid w:val="00C466BE"/>
    <w:rsid w:val="00C51186"/>
    <w:rsid w:val="00C525EB"/>
    <w:rsid w:val="00C52F8C"/>
    <w:rsid w:val="00C53139"/>
    <w:rsid w:val="00C540FD"/>
    <w:rsid w:val="00C541AE"/>
    <w:rsid w:val="00C5600D"/>
    <w:rsid w:val="00C5674B"/>
    <w:rsid w:val="00C57B28"/>
    <w:rsid w:val="00C61FAE"/>
    <w:rsid w:val="00C62F68"/>
    <w:rsid w:val="00C6456E"/>
    <w:rsid w:val="00C66A5D"/>
    <w:rsid w:val="00C67BE2"/>
    <w:rsid w:val="00C72D7B"/>
    <w:rsid w:val="00C80F28"/>
    <w:rsid w:val="00C81A60"/>
    <w:rsid w:val="00C81D38"/>
    <w:rsid w:val="00C82421"/>
    <w:rsid w:val="00C85670"/>
    <w:rsid w:val="00C90D19"/>
    <w:rsid w:val="00C9105A"/>
    <w:rsid w:val="00C93DF6"/>
    <w:rsid w:val="00C958FA"/>
    <w:rsid w:val="00C95EFE"/>
    <w:rsid w:val="00C964E4"/>
    <w:rsid w:val="00C96774"/>
    <w:rsid w:val="00CA12A1"/>
    <w:rsid w:val="00CA3615"/>
    <w:rsid w:val="00CB2477"/>
    <w:rsid w:val="00CB25E2"/>
    <w:rsid w:val="00CB5623"/>
    <w:rsid w:val="00CB6BFC"/>
    <w:rsid w:val="00CB6C88"/>
    <w:rsid w:val="00CB7770"/>
    <w:rsid w:val="00CB7FE1"/>
    <w:rsid w:val="00CC1FB8"/>
    <w:rsid w:val="00CC4B29"/>
    <w:rsid w:val="00CC5223"/>
    <w:rsid w:val="00CC6802"/>
    <w:rsid w:val="00CD18F8"/>
    <w:rsid w:val="00CD29E5"/>
    <w:rsid w:val="00CD2AB7"/>
    <w:rsid w:val="00CD4CAE"/>
    <w:rsid w:val="00CD51E8"/>
    <w:rsid w:val="00CE1537"/>
    <w:rsid w:val="00CE41F1"/>
    <w:rsid w:val="00CE62A0"/>
    <w:rsid w:val="00CE6EC6"/>
    <w:rsid w:val="00CF14B4"/>
    <w:rsid w:val="00CF28A7"/>
    <w:rsid w:val="00CF5447"/>
    <w:rsid w:val="00CF5C13"/>
    <w:rsid w:val="00CF60E7"/>
    <w:rsid w:val="00D015D4"/>
    <w:rsid w:val="00D035BE"/>
    <w:rsid w:val="00D0394F"/>
    <w:rsid w:val="00D03B76"/>
    <w:rsid w:val="00D0789B"/>
    <w:rsid w:val="00D1181F"/>
    <w:rsid w:val="00D154F3"/>
    <w:rsid w:val="00D20B28"/>
    <w:rsid w:val="00D20ECF"/>
    <w:rsid w:val="00D21E00"/>
    <w:rsid w:val="00D243E0"/>
    <w:rsid w:val="00D2652E"/>
    <w:rsid w:val="00D27A69"/>
    <w:rsid w:val="00D31D38"/>
    <w:rsid w:val="00D43180"/>
    <w:rsid w:val="00D437F0"/>
    <w:rsid w:val="00D470D6"/>
    <w:rsid w:val="00D532C6"/>
    <w:rsid w:val="00D54583"/>
    <w:rsid w:val="00D55DA6"/>
    <w:rsid w:val="00D61404"/>
    <w:rsid w:val="00D62409"/>
    <w:rsid w:val="00D64035"/>
    <w:rsid w:val="00D70126"/>
    <w:rsid w:val="00D70937"/>
    <w:rsid w:val="00D71507"/>
    <w:rsid w:val="00D734B3"/>
    <w:rsid w:val="00D73516"/>
    <w:rsid w:val="00D74FEE"/>
    <w:rsid w:val="00D77F91"/>
    <w:rsid w:val="00D835F1"/>
    <w:rsid w:val="00D85875"/>
    <w:rsid w:val="00D85C32"/>
    <w:rsid w:val="00D85CDB"/>
    <w:rsid w:val="00D928BC"/>
    <w:rsid w:val="00D93F39"/>
    <w:rsid w:val="00D964A7"/>
    <w:rsid w:val="00D9675A"/>
    <w:rsid w:val="00D97DF6"/>
    <w:rsid w:val="00DA09BF"/>
    <w:rsid w:val="00DA3837"/>
    <w:rsid w:val="00DA3CE7"/>
    <w:rsid w:val="00DA5DCE"/>
    <w:rsid w:val="00DA5F00"/>
    <w:rsid w:val="00DB2E33"/>
    <w:rsid w:val="00DB6869"/>
    <w:rsid w:val="00DB7755"/>
    <w:rsid w:val="00DB7DFF"/>
    <w:rsid w:val="00DC002D"/>
    <w:rsid w:val="00DC04BE"/>
    <w:rsid w:val="00DC1AB7"/>
    <w:rsid w:val="00DC1BE2"/>
    <w:rsid w:val="00DC51FC"/>
    <w:rsid w:val="00DC7E33"/>
    <w:rsid w:val="00DD10C3"/>
    <w:rsid w:val="00DD207A"/>
    <w:rsid w:val="00DD2F45"/>
    <w:rsid w:val="00DD33EB"/>
    <w:rsid w:val="00DD575C"/>
    <w:rsid w:val="00DE0294"/>
    <w:rsid w:val="00DE09CC"/>
    <w:rsid w:val="00DE0AEB"/>
    <w:rsid w:val="00DE0CBA"/>
    <w:rsid w:val="00DE2928"/>
    <w:rsid w:val="00DE4372"/>
    <w:rsid w:val="00DE5D45"/>
    <w:rsid w:val="00DF2DB7"/>
    <w:rsid w:val="00DF39FD"/>
    <w:rsid w:val="00DF46FF"/>
    <w:rsid w:val="00DF4D72"/>
    <w:rsid w:val="00E023C5"/>
    <w:rsid w:val="00E04479"/>
    <w:rsid w:val="00E04B6B"/>
    <w:rsid w:val="00E05134"/>
    <w:rsid w:val="00E05DFF"/>
    <w:rsid w:val="00E065A9"/>
    <w:rsid w:val="00E0731D"/>
    <w:rsid w:val="00E1072C"/>
    <w:rsid w:val="00E138CD"/>
    <w:rsid w:val="00E13A0A"/>
    <w:rsid w:val="00E1772C"/>
    <w:rsid w:val="00E20BA9"/>
    <w:rsid w:val="00E27C02"/>
    <w:rsid w:val="00E30145"/>
    <w:rsid w:val="00E30B13"/>
    <w:rsid w:val="00E31440"/>
    <w:rsid w:val="00E316B1"/>
    <w:rsid w:val="00E32957"/>
    <w:rsid w:val="00E347E0"/>
    <w:rsid w:val="00E3699E"/>
    <w:rsid w:val="00E3727F"/>
    <w:rsid w:val="00E37C58"/>
    <w:rsid w:val="00E37DA7"/>
    <w:rsid w:val="00E406ED"/>
    <w:rsid w:val="00E416D1"/>
    <w:rsid w:val="00E43354"/>
    <w:rsid w:val="00E452AE"/>
    <w:rsid w:val="00E506DB"/>
    <w:rsid w:val="00E5135A"/>
    <w:rsid w:val="00E52282"/>
    <w:rsid w:val="00E5353C"/>
    <w:rsid w:val="00E53EAE"/>
    <w:rsid w:val="00E644F1"/>
    <w:rsid w:val="00E64F36"/>
    <w:rsid w:val="00E6718B"/>
    <w:rsid w:val="00E70BF6"/>
    <w:rsid w:val="00E72B98"/>
    <w:rsid w:val="00E72BC1"/>
    <w:rsid w:val="00E72E3D"/>
    <w:rsid w:val="00E74718"/>
    <w:rsid w:val="00E754F8"/>
    <w:rsid w:val="00E772BC"/>
    <w:rsid w:val="00E77A87"/>
    <w:rsid w:val="00E80459"/>
    <w:rsid w:val="00E81953"/>
    <w:rsid w:val="00E83959"/>
    <w:rsid w:val="00E83BB5"/>
    <w:rsid w:val="00E841FC"/>
    <w:rsid w:val="00E843C8"/>
    <w:rsid w:val="00E87045"/>
    <w:rsid w:val="00E872EC"/>
    <w:rsid w:val="00E87866"/>
    <w:rsid w:val="00E90B78"/>
    <w:rsid w:val="00E9161B"/>
    <w:rsid w:val="00E92CDF"/>
    <w:rsid w:val="00E932D7"/>
    <w:rsid w:val="00E93F48"/>
    <w:rsid w:val="00E94216"/>
    <w:rsid w:val="00E94745"/>
    <w:rsid w:val="00E94AAA"/>
    <w:rsid w:val="00E95AAC"/>
    <w:rsid w:val="00E96696"/>
    <w:rsid w:val="00EA31AF"/>
    <w:rsid w:val="00EA48D0"/>
    <w:rsid w:val="00EA71D0"/>
    <w:rsid w:val="00EB2210"/>
    <w:rsid w:val="00EB271A"/>
    <w:rsid w:val="00EB4E22"/>
    <w:rsid w:val="00EB53D6"/>
    <w:rsid w:val="00EB6887"/>
    <w:rsid w:val="00EB7CFF"/>
    <w:rsid w:val="00EC0E91"/>
    <w:rsid w:val="00EC259E"/>
    <w:rsid w:val="00EC3F68"/>
    <w:rsid w:val="00EC410A"/>
    <w:rsid w:val="00ED152D"/>
    <w:rsid w:val="00ED2477"/>
    <w:rsid w:val="00ED62EC"/>
    <w:rsid w:val="00EE0CFB"/>
    <w:rsid w:val="00EE1C7D"/>
    <w:rsid w:val="00EE2442"/>
    <w:rsid w:val="00EE2CBE"/>
    <w:rsid w:val="00EE329B"/>
    <w:rsid w:val="00EE574B"/>
    <w:rsid w:val="00EE68AF"/>
    <w:rsid w:val="00EE6AC8"/>
    <w:rsid w:val="00EE72CE"/>
    <w:rsid w:val="00EE7FE5"/>
    <w:rsid w:val="00EF11CC"/>
    <w:rsid w:val="00EF13D5"/>
    <w:rsid w:val="00EF3CAD"/>
    <w:rsid w:val="00EF5B3E"/>
    <w:rsid w:val="00EF702C"/>
    <w:rsid w:val="00F00305"/>
    <w:rsid w:val="00F00D8A"/>
    <w:rsid w:val="00F05CA9"/>
    <w:rsid w:val="00F05EE8"/>
    <w:rsid w:val="00F06398"/>
    <w:rsid w:val="00F11707"/>
    <w:rsid w:val="00F17A8E"/>
    <w:rsid w:val="00F20392"/>
    <w:rsid w:val="00F20B93"/>
    <w:rsid w:val="00F212F3"/>
    <w:rsid w:val="00F22D65"/>
    <w:rsid w:val="00F22E4B"/>
    <w:rsid w:val="00F23B18"/>
    <w:rsid w:val="00F25C1D"/>
    <w:rsid w:val="00F34F6E"/>
    <w:rsid w:val="00F350E0"/>
    <w:rsid w:val="00F35471"/>
    <w:rsid w:val="00F36E5D"/>
    <w:rsid w:val="00F42079"/>
    <w:rsid w:val="00F43F56"/>
    <w:rsid w:val="00F45F1D"/>
    <w:rsid w:val="00F468F9"/>
    <w:rsid w:val="00F47605"/>
    <w:rsid w:val="00F5217F"/>
    <w:rsid w:val="00F52EE9"/>
    <w:rsid w:val="00F53D1E"/>
    <w:rsid w:val="00F558ED"/>
    <w:rsid w:val="00F57F88"/>
    <w:rsid w:val="00F6017C"/>
    <w:rsid w:val="00F62B2E"/>
    <w:rsid w:val="00F63302"/>
    <w:rsid w:val="00F64F69"/>
    <w:rsid w:val="00F67BEC"/>
    <w:rsid w:val="00F7098D"/>
    <w:rsid w:val="00F72E50"/>
    <w:rsid w:val="00F730AE"/>
    <w:rsid w:val="00F73A2B"/>
    <w:rsid w:val="00F775FE"/>
    <w:rsid w:val="00F77D24"/>
    <w:rsid w:val="00F81704"/>
    <w:rsid w:val="00F83665"/>
    <w:rsid w:val="00F84D59"/>
    <w:rsid w:val="00F85935"/>
    <w:rsid w:val="00F87298"/>
    <w:rsid w:val="00F87CE3"/>
    <w:rsid w:val="00F9190D"/>
    <w:rsid w:val="00F93A8A"/>
    <w:rsid w:val="00F95910"/>
    <w:rsid w:val="00F9665C"/>
    <w:rsid w:val="00F96870"/>
    <w:rsid w:val="00FA1EDC"/>
    <w:rsid w:val="00FA349A"/>
    <w:rsid w:val="00FA4426"/>
    <w:rsid w:val="00FA4BF5"/>
    <w:rsid w:val="00FA680F"/>
    <w:rsid w:val="00FA746F"/>
    <w:rsid w:val="00FA74C2"/>
    <w:rsid w:val="00FB0916"/>
    <w:rsid w:val="00FB0E2E"/>
    <w:rsid w:val="00FB3311"/>
    <w:rsid w:val="00FB6C58"/>
    <w:rsid w:val="00FC08ED"/>
    <w:rsid w:val="00FC1DD1"/>
    <w:rsid w:val="00FC3A0A"/>
    <w:rsid w:val="00FC57FD"/>
    <w:rsid w:val="00FD1FEC"/>
    <w:rsid w:val="00FD36DC"/>
    <w:rsid w:val="00FD42F3"/>
    <w:rsid w:val="00FD619F"/>
    <w:rsid w:val="00FE14FC"/>
    <w:rsid w:val="00FE1590"/>
    <w:rsid w:val="00FE247B"/>
    <w:rsid w:val="00FE31E4"/>
    <w:rsid w:val="00FE324B"/>
    <w:rsid w:val="00FE4588"/>
    <w:rsid w:val="00FE547D"/>
    <w:rsid w:val="00FE57A2"/>
    <w:rsid w:val="00FF09D9"/>
    <w:rsid w:val="00FF1279"/>
    <w:rsid w:val="00FF5006"/>
    <w:rsid w:val="00FF527F"/>
    <w:rsid w:val="00FF558F"/>
    <w:rsid w:val="00FF705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C1B45"/>
  <w15:docId w15:val="{94E0892D-F0DE-4C00-9A1E-3D67B9A3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4A7"/>
    <w:pPr>
      <w:suppressAutoHyphens/>
      <w:jc w:val="both"/>
    </w:pPr>
    <w:rPr>
      <w:kern w:val="14"/>
    </w:rPr>
  </w:style>
  <w:style w:type="paragraph" w:styleId="Heading1">
    <w:name w:val="heading 1"/>
    <w:basedOn w:val="Normal"/>
    <w:next w:val="Normal"/>
    <w:qFormat/>
    <w:rsid w:val="00D964A7"/>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rsid w:val="00D964A7"/>
    <w:pPr>
      <w:keepNext/>
    </w:pPr>
    <w:rPr>
      <w:rFonts w:ascii="Arial" w:hAnsi="Arial"/>
      <w:b/>
      <w:caps/>
    </w:rPr>
  </w:style>
  <w:style w:type="paragraph" w:styleId="BodyTextIndent">
    <w:name w:val="Body Text Indent"/>
    <w:basedOn w:val="Normal"/>
    <w:link w:val="BodyTextIndentChar"/>
    <w:semiHidden/>
    <w:rsid w:val="00D964A7"/>
    <w:pPr>
      <w:ind w:firstLine="360"/>
    </w:pPr>
  </w:style>
  <w:style w:type="paragraph" w:customStyle="1" w:styleId="AcknowledgmentsClauseTitle">
    <w:name w:val="Acknowledgments Clause Title"/>
    <w:basedOn w:val="Normal"/>
    <w:next w:val="BodyTextIndent"/>
    <w:rsid w:val="00D964A7"/>
    <w:pPr>
      <w:keepNext/>
      <w:spacing w:before="240"/>
    </w:pPr>
    <w:rPr>
      <w:rFonts w:ascii="Arial" w:hAnsi="Arial"/>
      <w:b/>
      <w:caps/>
    </w:rPr>
  </w:style>
  <w:style w:type="paragraph" w:customStyle="1" w:styleId="Affiliation">
    <w:name w:val="Affiliation"/>
    <w:basedOn w:val="Normal"/>
    <w:rsid w:val="00D964A7"/>
    <w:pPr>
      <w:jc w:val="center"/>
    </w:pPr>
    <w:rPr>
      <w:rFonts w:ascii="Arial" w:hAnsi="Arial"/>
    </w:rPr>
  </w:style>
  <w:style w:type="paragraph" w:customStyle="1" w:styleId="Author">
    <w:name w:val="Author"/>
    <w:basedOn w:val="Normal"/>
    <w:next w:val="Affiliation"/>
    <w:rsid w:val="00D964A7"/>
    <w:pPr>
      <w:keepNext/>
      <w:jc w:val="center"/>
    </w:pPr>
    <w:rPr>
      <w:rFonts w:ascii="Arial" w:hAnsi="Arial"/>
      <w:b/>
    </w:rPr>
  </w:style>
  <w:style w:type="paragraph" w:customStyle="1" w:styleId="DocumentNumber">
    <w:name w:val="Document Number"/>
    <w:basedOn w:val="Normal"/>
    <w:next w:val="BodyTextIndent"/>
    <w:rsid w:val="00D964A7"/>
    <w:pPr>
      <w:spacing w:before="900"/>
      <w:jc w:val="right"/>
    </w:pPr>
    <w:rPr>
      <w:rFonts w:ascii="Arial" w:hAnsi="Arial"/>
      <w:b/>
      <w:sz w:val="36"/>
    </w:rPr>
  </w:style>
  <w:style w:type="paragraph" w:customStyle="1" w:styleId="EquationNumber">
    <w:name w:val="Equation Number"/>
    <w:basedOn w:val="Normal"/>
    <w:next w:val="BodyTextIndent"/>
    <w:rsid w:val="00D964A7"/>
    <w:pPr>
      <w:jc w:val="right"/>
    </w:pPr>
  </w:style>
  <w:style w:type="paragraph" w:customStyle="1" w:styleId="FigureCaption">
    <w:name w:val="Figure Caption"/>
    <w:basedOn w:val="Normal"/>
    <w:next w:val="BodyTextIndent"/>
    <w:rsid w:val="00D964A7"/>
    <w:pPr>
      <w:jc w:val="center"/>
    </w:pPr>
    <w:rPr>
      <w:rFonts w:ascii="Arial" w:hAnsi="Arial"/>
      <w:b/>
    </w:rPr>
  </w:style>
  <w:style w:type="paragraph" w:styleId="Footer">
    <w:name w:val="footer"/>
    <w:basedOn w:val="Normal"/>
    <w:next w:val="Header"/>
    <w:link w:val="FooterChar"/>
    <w:uiPriority w:val="99"/>
    <w:rsid w:val="00D964A7"/>
    <w:pPr>
      <w:tabs>
        <w:tab w:val="center" w:pos="5760"/>
        <w:tab w:val="right" w:pos="10800"/>
      </w:tabs>
    </w:pPr>
  </w:style>
  <w:style w:type="paragraph" w:styleId="Header">
    <w:name w:val="header"/>
    <w:basedOn w:val="Normal"/>
    <w:next w:val="Footer"/>
    <w:semiHidden/>
    <w:rsid w:val="00D964A7"/>
  </w:style>
  <w:style w:type="paragraph" w:styleId="FootnoteText">
    <w:name w:val="footnote text"/>
    <w:basedOn w:val="Normal"/>
    <w:semiHidden/>
    <w:rsid w:val="00D964A7"/>
    <w:pPr>
      <w:ind w:firstLine="360"/>
    </w:pPr>
    <w:rPr>
      <w:sz w:val="16"/>
    </w:rPr>
  </w:style>
  <w:style w:type="paragraph" w:customStyle="1" w:styleId="NomenclatureClauseTitle">
    <w:name w:val="Nomenclature Clause Title"/>
    <w:basedOn w:val="Normal"/>
    <w:next w:val="BodyTextIndent"/>
    <w:rsid w:val="00D964A7"/>
    <w:pPr>
      <w:keepNext/>
      <w:spacing w:before="240"/>
    </w:pPr>
    <w:rPr>
      <w:rFonts w:ascii="Arial" w:hAnsi="Arial"/>
      <w:b/>
      <w:caps/>
    </w:rPr>
  </w:style>
  <w:style w:type="paragraph" w:customStyle="1" w:styleId="ReferencesClauseTitle">
    <w:name w:val="References Clause Title"/>
    <w:basedOn w:val="Normal"/>
    <w:next w:val="BodyTextIndent"/>
    <w:rsid w:val="00D964A7"/>
    <w:pPr>
      <w:keepNext/>
      <w:spacing w:before="240"/>
    </w:pPr>
    <w:rPr>
      <w:rFonts w:ascii="Arial" w:hAnsi="Arial"/>
      <w:b/>
      <w:caps/>
    </w:rPr>
  </w:style>
  <w:style w:type="paragraph" w:customStyle="1" w:styleId="TableCaption">
    <w:name w:val="Table Caption"/>
    <w:basedOn w:val="Normal"/>
    <w:next w:val="BodyTextIndent"/>
    <w:rsid w:val="00D964A7"/>
    <w:pPr>
      <w:jc w:val="center"/>
    </w:pPr>
    <w:rPr>
      <w:rFonts w:ascii="Arial" w:hAnsi="Arial"/>
      <w:b/>
    </w:rPr>
  </w:style>
  <w:style w:type="paragraph" w:customStyle="1" w:styleId="TextHeading1">
    <w:name w:val="Text Heading 1"/>
    <w:basedOn w:val="Normal"/>
    <w:next w:val="BodyTextIndent"/>
    <w:rsid w:val="00D964A7"/>
    <w:pPr>
      <w:keepNext/>
      <w:spacing w:before="240"/>
    </w:pPr>
    <w:rPr>
      <w:rFonts w:ascii="Arial" w:hAnsi="Arial"/>
      <w:b/>
      <w:caps/>
    </w:rPr>
  </w:style>
  <w:style w:type="paragraph" w:customStyle="1" w:styleId="TextHeading2">
    <w:name w:val="Text Heading 2"/>
    <w:basedOn w:val="Normal"/>
    <w:next w:val="BodyTextIndent"/>
    <w:rsid w:val="00D964A7"/>
    <w:pPr>
      <w:keepNext/>
      <w:spacing w:before="240"/>
    </w:pPr>
    <w:rPr>
      <w:rFonts w:ascii="Arial" w:hAnsi="Arial"/>
      <w:b/>
      <w:u w:val="single"/>
    </w:rPr>
  </w:style>
  <w:style w:type="paragraph" w:customStyle="1" w:styleId="TextHeading3">
    <w:name w:val="Text Heading 3"/>
    <w:basedOn w:val="Normal"/>
    <w:next w:val="BodyTextIndent"/>
    <w:rsid w:val="00D964A7"/>
    <w:pPr>
      <w:spacing w:before="240"/>
      <w:ind w:left="360"/>
    </w:pPr>
    <w:rPr>
      <w:rFonts w:ascii="Arial" w:hAnsi="Arial"/>
      <w:b/>
      <w:u w:val="single"/>
    </w:rPr>
  </w:style>
  <w:style w:type="paragraph" w:styleId="Title">
    <w:name w:val="Title"/>
    <w:basedOn w:val="Normal"/>
    <w:qFormat/>
    <w:rsid w:val="00D964A7"/>
    <w:pPr>
      <w:spacing w:before="760"/>
      <w:jc w:val="center"/>
    </w:pPr>
    <w:rPr>
      <w:rFonts w:ascii="Arial" w:hAnsi="Arial"/>
      <w:b/>
      <w:caps/>
      <w:sz w:val="24"/>
    </w:rPr>
  </w:style>
  <w:style w:type="paragraph" w:styleId="Caption">
    <w:name w:val="caption"/>
    <w:basedOn w:val="Normal"/>
    <w:next w:val="Normal"/>
    <w:qFormat/>
    <w:rsid w:val="00D964A7"/>
    <w:pPr>
      <w:spacing w:before="120" w:after="120"/>
    </w:pPr>
    <w:rPr>
      <w:b/>
    </w:rPr>
  </w:style>
  <w:style w:type="paragraph" w:styleId="BalloonText">
    <w:name w:val="Balloon Text"/>
    <w:basedOn w:val="Normal"/>
    <w:link w:val="BalloonTextChar"/>
    <w:uiPriority w:val="99"/>
    <w:semiHidden/>
    <w:unhideWhenUsed/>
    <w:rsid w:val="00C322DD"/>
    <w:rPr>
      <w:rFonts w:ascii="Tahoma" w:hAnsi="Tahoma" w:cs="Tahoma"/>
      <w:sz w:val="16"/>
      <w:szCs w:val="16"/>
    </w:rPr>
  </w:style>
  <w:style w:type="character" w:customStyle="1" w:styleId="BalloonTextChar">
    <w:name w:val="Balloon Text Char"/>
    <w:basedOn w:val="DefaultParagraphFont"/>
    <w:link w:val="BalloonText"/>
    <w:uiPriority w:val="99"/>
    <w:semiHidden/>
    <w:rsid w:val="00C322DD"/>
    <w:rPr>
      <w:rFonts w:ascii="Tahoma" w:hAnsi="Tahoma" w:cs="Tahoma"/>
      <w:kern w:val="14"/>
      <w:sz w:val="16"/>
      <w:szCs w:val="16"/>
    </w:rPr>
  </w:style>
  <w:style w:type="character" w:styleId="CommentReference">
    <w:name w:val="annotation reference"/>
    <w:basedOn w:val="DefaultParagraphFont"/>
    <w:uiPriority w:val="99"/>
    <w:semiHidden/>
    <w:unhideWhenUsed/>
    <w:rsid w:val="00D532C6"/>
    <w:rPr>
      <w:sz w:val="16"/>
      <w:szCs w:val="16"/>
    </w:rPr>
  </w:style>
  <w:style w:type="paragraph" w:styleId="CommentText">
    <w:name w:val="annotation text"/>
    <w:basedOn w:val="Normal"/>
    <w:link w:val="CommentTextChar"/>
    <w:uiPriority w:val="99"/>
    <w:unhideWhenUsed/>
    <w:rsid w:val="00D532C6"/>
  </w:style>
  <w:style w:type="character" w:customStyle="1" w:styleId="CommentTextChar">
    <w:name w:val="Comment Text Char"/>
    <w:basedOn w:val="DefaultParagraphFont"/>
    <w:link w:val="CommentText"/>
    <w:uiPriority w:val="99"/>
    <w:rsid w:val="00D532C6"/>
    <w:rPr>
      <w:kern w:val="14"/>
    </w:rPr>
  </w:style>
  <w:style w:type="paragraph" w:styleId="CommentSubject">
    <w:name w:val="annotation subject"/>
    <w:basedOn w:val="CommentText"/>
    <w:next w:val="CommentText"/>
    <w:link w:val="CommentSubjectChar"/>
    <w:uiPriority w:val="99"/>
    <w:semiHidden/>
    <w:unhideWhenUsed/>
    <w:rsid w:val="00D532C6"/>
    <w:rPr>
      <w:b/>
      <w:bCs/>
    </w:rPr>
  </w:style>
  <w:style w:type="character" w:customStyle="1" w:styleId="CommentSubjectChar">
    <w:name w:val="Comment Subject Char"/>
    <w:basedOn w:val="CommentTextChar"/>
    <w:link w:val="CommentSubject"/>
    <w:uiPriority w:val="99"/>
    <w:semiHidden/>
    <w:rsid w:val="00D532C6"/>
    <w:rPr>
      <w:b/>
      <w:bCs/>
      <w:kern w:val="14"/>
    </w:rPr>
  </w:style>
  <w:style w:type="paragraph" w:styleId="Revision">
    <w:name w:val="Revision"/>
    <w:hidden/>
    <w:uiPriority w:val="99"/>
    <w:semiHidden/>
    <w:rsid w:val="00F212F3"/>
    <w:rPr>
      <w:kern w:val="14"/>
    </w:rPr>
  </w:style>
  <w:style w:type="character" w:customStyle="1" w:styleId="FooterChar">
    <w:name w:val="Footer Char"/>
    <w:basedOn w:val="DefaultParagraphFont"/>
    <w:link w:val="Footer"/>
    <w:uiPriority w:val="99"/>
    <w:rsid w:val="00136502"/>
    <w:rPr>
      <w:kern w:val="14"/>
    </w:rPr>
  </w:style>
  <w:style w:type="character" w:styleId="FootnoteReference">
    <w:name w:val="footnote reference"/>
    <w:basedOn w:val="DefaultParagraphFont"/>
    <w:uiPriority w:val="99"/>
    <w:semiHidden/>
    <w:unhideWhenUsed/>
    <w:rsid w:val="00977259"/>
    <w:rPr>
      <w:vertAlign w:val="superscript"/>
    </w:rPr>
  </w:style>
  <w:style w:type="paragraph" w:styleId="ListParagraph">
    <w:name w:val="List Paragraph"/>
    <w:basedOn w:val="Normal"/>
    <w:uiPriority w:val="34"/>
    <w:qFormat/>
    <w:rsid w:val="00E138CD"/>
    <w:pPr>
      <w:ind w:left="720"/>
      <w:contextualSpacing/>
    </w:pPr>
  </w:style>
  <w:style w:type="table" w:styleId="TableGrid">
    <w:name w:val="Table Grid"/>
    <w:basedOn w:val="TableNormal"/>
    <w:uiPriority w:val="59"/>
    <w:rsid w:val="00CA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3CBD"/>
    <w:pPr>
      <w:suppressAutoHyphens w:val="0"/>
      <w:spacing w:before="100" w:beforeAutospacing="1" w:after="100" w:afterAutospacing="1"/>
      <w:jc w:val="left"/>
    </w:pPr>
    <w:rPr>
      <w:rFonts w:eastAsiaTheme="minorEastAsia"/>
      <w:kern w:val="0"/>
      <w:sz w:val="24"/>
      <w:szCs w:val="24"/>
    </w:rPr>
  </w:style>
  <w:style w:type="character" w:styleId="PlaceholderText">
    <w:name w:val="Placeholder Text"/>
    <w:basedOn w:val="DefaultParagraphFont"/>
    <w:uiPriority w:val="99"/>
    <w:semiHidden/>
    <w:rsid w:val="00953218"/>
    <w:rPr>
      <w:color w:val="808080"/>
    </w:rPr>
  </w:style>
  <w:style w:type="character" w:customStyle="1" w:styleId="BodyTextIndentChar">
    <w:name w:val="Body Text Indent Char"/>
    <w:basedOn w:val="DefaultParagraphFont"/>
    <w:link w:val="BodyTextIndent"/>
    <w:semiHidden/>
    <w:rsid w:val="00472383"/>
    <w:rPr>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3473">
      <w:bodyDiv w:val="1"/>
      <w:marLeft w:val="0"/>
      <w:marRight w:val="0"/>
      <w:marTop w:val="0"/>
      <w:marBottom w:val="0"/>
      <w:divBdr>
        <w:top w:val="none" w:sz="0" w:space="0" w:color="auto"/>
        <w:left w:val="none" w:sz="0" w:space="0" w:color="auto"/>
        <w:bottom w:val="none" w:sz="0" w:space="0" w:color="auto"/>
        <w:right w:val="none" w:sz="0" w:space="0" w:color="auto"/>
      </w:divBdr>
    </w:div>
    <w:div w:id="252395585">
      <w:bodyDiv w:val="1"/>
      <w:marLeft w:val="0"/>
      <w:marRight w:val="0"/>
      <w:marTop w:val="0"/>
      <w:marBottom w:val="0"/>
      <w:divBdr>
        <w:top w:val="none" w:sz="0" w:space="0" w:color="auto"/>
        <w:left w:val="none" w:sz="0" w:space="0" w:color="auto"/>
        <w:bottom w:val="none" w:sz="0" w:space="0" w:color="auto"/>
        <w:right w:val="none" w:sz="0" w:space="0" w:color="auto"/>
      </w:divBdr>
    </w:div>
    <w:div w:id="256518599">
      <w:bodyDiv w:val="1"/>
      <w:marLeft w:val="0"/>
      <w:marRight w:val="0"/>
      <w:marTop w:val="0"/>
      <w:marBottom w:val="0"/>
      <w:divBdr>
        <w:top w:val="none" w:sz="0" w:space="0" w:color="auto"/>
        <w:left w:val="none" w:sz="0" w:space="0" w:color="auto"/>
        <w:bottom w:val="none" w:sz="0" w:space="0" w:color="auto"/>
        <w:right w:val="none" w:sz="0" w:space="0" w:color="auto"/>
      </w:divBdr>
    </w:div>
    <w:div w:id="431166742">
      <w:bodyDiv w:val="1"/>
      <w:marLeft w:val="0"/>
      <w:marRight w:val="0"/>
      <w:marTop w:val="0"/>
      <w:marBottom w:val="0"/>
      <w:divBdr>
        <w:top w:val="none" w:sz="0" w:space="0" w:color="auto"/>
        <w:left w:val="none" w:sz="0" w:space="0" w:color="auto"/>
        <w:bottom w:val="none" w:sz="0" w:space="0" w:color="auto"/>
        <w:right w:val="none" w:sz="0" w:space="0" w:color="auto"/>
      </w:divBdr>
    </w:div>
    <w:div w:id="617950376">
      <w:bodyDiv w:val="1"/>
      <w:marLeft w:val="0"/>
      <w:marRight w:val="0"/>
      <w:marTop w:val="0"/>
      <w:marBottom w:val="0"/>
      <w:divBdr>
        <w:top w:val="none" w:sz="0" w:space="0" w:color="auto"/>
        <w:left w:val="none" w:sz="0" w:space="0" w:color="auto"/>
        <w:bottom w:val="none" w:sz="0" w:space="0" w:color="auto"/>
        <w:right w:val="none" w:sz="0" w:space="0" w:color="auto"/>
      </w:divBdr>
    </w:div>
    <w:div w:id="1048919992">
      <w:bodyDiv w:val="1"/>
      <w:marLeft w:val="0"/>
      <w:marRight w:val="0"/>
      <w:marTop w:val="0"/>
      <w:marBottom w:val="0"/>
      <w:divBdr>
        <w:top w:val="none" w:sz="0" w:space="0" w:color="auto"/>
        <w:left w:val="none" w:sz="0" w:space="0" w:color="auto"/>
        <w:bottom w:val="none" w:sz="0" w:space="0" w:color="auto"/>
        <w:right w:val="none" w:sz="0" w:space="0" w:color="auto"/>
      </w:divBdr>
    </w:div>
    <w:div w:id="18558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jpg"/><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f186f9-12fc-49c4-b34b-83e22dad0ebe" xsi:nil="true"/>
    <lcf76f155ced4ddcb4097134ff3c332f xmlns="cfd664a4-0d16-41cc-93e1-02e5e4175d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14C98925BF85344080E7DD80A13A1C82" ma:contentTypeVersion="16" ma:contentTypeDescription="새 문서를 만듭니다." ma:contentTypeScope="" ma:versionID="c5da32ffbb99c4243afbd5b38aee955f">
  <xsd:schema xmlns:xsd="http://www.w3.org/2001/XMLSchema" xmlns:xs="http://www.w3.org/2001/XMLSchema" xmlns:p="http://schemas.microsoft.com/office/2006/metadata/properties" xmlns:ns2="cfd664a4-0d16-41cc-93e1-02e5e4175d64" xmlns:ns3="81f186f9-12fc-49c4-b34b-83e22dad0ebe" targetNamespace="http://schemas.microsoft.com/office/2006/metadata/properties" ma:root="true" ma:fieldsID="8685ac0444cac5e99ad72570dbc781fe" ns2:_="" ns3:_="">
    <xsd:import namespace="cfd664a4-0d16-41cc-93e1-02e5e4175d64"/>
    <xsd:import namespace="81f186f9-12fc-49c4-b34b-83e22dad0e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64a4-0d16-41cc-93e1-02e5e41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이미지 태그" ma:readOnly="false" ma:fieldId="{5cf76f15-5ced-4ddc-b409-7134ff3c332f}" ma:taxonomyMulti="true" ma:sspId="3f7807d1-82c6-4e7e-ad3b-0b540edf00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f186f9-12fc-49c4-b34b-83e22dad0eb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674065-6215-43bd-8a85-8245d8ca2b72}" ma:internalName="TaxCatchAll" ma:showField="CatchAllData" ma:web="81f186f9-12fc-49c4-b34b-83e22dad0eb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71EF-FB57-4F86-AA94-86CB751E8246}">
  <ds:schemaRefs>
    <ds:schemaRef ds:uri="http://schemas.microsoft.com/office/2006/metadata/properties"/>
    <ds:schemaRef ds:uri="http://schemas.microsoft.com/office/infopath/2007/PartnerControls"/>
    <ds:schemaRef ds:uri="81f186f9-12fc-49c4-b34b-83e22dad0ebe"/>
    <ds:schemaRef ds:uri="cfd664a4-0d16-41cc-93e1-02e5e4175d64"/>
  </ds:schemaRefs>
</ds:datastoreItem>
</file>

<file path=customXml/itemProps2.xml><?xml version="1.0" encoding="utf-8"?>
<ds:datastoreItem xmlns:ds="http://schemas.openxmlformats.org/officeDocument/2006/customXml" ds:itemID="{CDCA3108-526D-46CF-BA32-4A4896B40C9D}">
  <ds:schemaRefs>
    <ds:schemaRef ds:uri="http://schemas.microsoft.com/sharepoint/v3/contenttype/forms"/>
  </ds:schemaRefs>
</ds:datastoreItem>
</file>

<file path=customXml/itemProps3.xml><?xml version="1.0" encoding="utf-8"?>
<ds:datastoreItem xmlns:ds="http://schemas.openxmlformats.org/officeDocument/2006/customXml" ds:itemID="{AF6B6017-6F2D-4E72-A0F5-C0C9A243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64a4-0d16-41cc-93e1-02e5e4175d64"/>
    <ds:schemaRef ds:uri="81f186f9-12fc-49c4-b34b-83e22dad0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A0179-59AE-48D2-A99B-F643CB17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12786</Words>
  <Characters>72882</Characters>
  <Application>Microsoft Office Word</Application>
  <DocSecurity>0</DocSecurity>
  <Lines>607</Lines>
  <Paragraphs>170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Put Paper Title Here</vt:lpstr>
      <vt:lpstr>Put Paper Title Here</vt:lpstr>
    </vt:vector>
  </TitlesOfParts>
  <Company/>
  <LinksUpToDate>false</LinksUpToDate>
  <CharactersWithSpaces>85498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creator>INSPI</dc:creator>
  <cp:lastModifiedBy>Thaar Aljuwaya</cp:lastModifiedBy>
  <cp:revision>4</cp:revision>
  <cp:lastPrinted>2023-07-29T23:00:00Z</cp:lastPrinted>
  <dcterms:created xsi:type="dcterms:W3CDTF">2023-07-29T22:59:00Z</dcterms:created>
  <dcterms:modified xsi:type="dcterms:W3CDTF">2023-10-10T20:53:00Z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0x01010014C98925BF85344080E7DD80A13A1C82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http://www.zotero.org/styles/ieee</vt:lpwstr>
  </property>
  <property fmtid="{D5CDD505-2E9C-101B-9397-08002B2CF9AE}" pid="24" name="Mendeley Document_1">
    <vt:lpwstr>True</vt:lpwstr>
  </property>
  <property fmtid="{D5CDD505-2E9C-101B-9397-08002B2CF9AE}" pid="25" name="Mendeley Unique User Id_1">
    <vt:lpwstr>1b334b92-7241-347c-8a27-4ba7f2c0e5cf</vt:lpwstr>
  </property>
</Properties>
</file>