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45116" w14:textId="77777777" w:rsidR="00DE2928" w:rsidRPr="00A03C8F" w:rsidRDefault="00DE2928" w:rsidP="00A03C8F">
      <w:pPr>
        <w:suppressAutoHyphens w:val="0"/>
        <w:spacing w:before="120"/>
        <w:contextualSpacing/>
        <w:jc w:val="center"/>
        <w:rPr>
          <w:rFonts w:eastAsia="Times New Roman"/>
          <w:b/>
          <w:spacing w:val="-10"/>
          <w:kern w:val="28"/>
          <w:sz w:val="32"/>
          <w:szCs w:val="56"/>
          <w:lang w:val="en-GB"/>
        </w:rPr>
      </w:pPr>
    </w:p>
    <w:p w14:paraId="197CB27B" w14:textId="278F9FDF" w:rsidR="00A03C8F" w:rsidRPr="00A03C8F" w:rsidRDefault="006B0404" w:rsidP="006B0404">
      <w:pPr>
        <w:suppressAutoHyphens w:val="0"/>
        <w:spacing w:before="120"/>
        <w:contextualSpacing/>
        <w:jc w:val="center"/>
        <w:rPr>
          <w:rFonts w:eastAsia="Times New Roman"/>
          <w:b/>
          <w:spacing w:val="-10"/>
          <w:kern w:val="28"/>
          <w:sz w:val="32"/>
          <w:szCs w:val="56"/>
          <w:lang w:val="en-GB"/>
        </w:rPr>
      </w:pPr>
      <w:r w:rsidRPr="006B0404">
        <w:rPr>
          <w:rFonts w:eastAsia="Times New Roman"/>
          <w:b/>
          <w:spacing w:val="-10"/>
          <w:kern w:val="28"/>
          <w:sz w:val="32"/>
          <w:szCs w:val="56"/>
          <w:lang w:val="en-GB"/>
        </w:rPr>
        <w:t>Impact of Fuel Element Shape on Material Testing Reactor using OpenMC Code</w:t>
      </w:r>
    </w:p>
    <w:p w14:paraId="5B6C62CE" w14:textId="77777777" w:rsidR="00781B6A" w:rsidRDefault="00781B6A">
      <w:pPr>
        <w:pStyle w:val="Affiliation"/>
        <w:jc w:val="both"/>
        <w:rPr>
          <w:rFonts w:ascii="Times New Roman" w:hAnsi="Times New Roman"/>
        </w:rPr>
      </w:pPr>
      <w:bookmarkStart w:id="0" w:name="PutAuthorsHere"/>
    </w:p>
    <w:p w14:paraId="68174F00" w14:textId="77777777" w:rsidR="00781B6A" w:rsidRDefault="00781B6A">
      <w:pPr>
        <w:pStyle w:val="Affiliation"/>
        <w:jc w:val="both"/>
        <w:rPr>
          <w:rFonts w:ascii="Times New Roman" w:hAnsi="Times New Roman"/>
        </w:rPr>
      </w:pPr>
    </w:p>
    <w:p w14:paraId="613EAEDB" w14:textId="4BF4E349" w:rsidR="00781B6A" w:rsidRDefault="006B0404" w:rsidP="000B73A0">
      <w:pPr>
        <w:pStyle w:val="Affiliation"/>
        <w:rPr>
          <w:rFonts w:ascii="Times New Roman" w:hAnsi="Times New Roman"/>
        </w:rPr>
      </w:pPr>
      <w:r w:rsidRPr="006B0404">
        <w:rPr>
          <w:rFonts w:ascii="Times New Roman" w:hAnsi="Times New Roman"/>
        </w:rPr>
        <w:t xml:space="preserve">Alaa H. Alnahdi </w:t>
      </w:r>
      <w:r w:rsidRPr="006B0404">
        <w:rPr>
          <w:rFonts w:ascii="Times New Roman" w:hAnsi="Times New Roman"/>
          <w:vertAlign w:val="superscript"/>
        </w:rPr>
        <w:t>1,2</w:t>
      </w:r>
      <w:r w:rsidR="000B73A0">
        <w:rPr>
          <w:rFonts w:ascii="Times New Roman" w:hAnsi="Times New Roman"/>
          <w:vertAlign w:val="superscript"/>
        </w:rPr>
        <w:t>,3</w:t>
      </w:r>
      <w:r w:rsidRPr="006B0404">
        <w:rPr>
          <w:rFonts w:ascii="Times New Roman" w:hAnsi="Times New Roman"/>
        </w:rPr>
        <w:t xml:space="preserve">, Ahmed A. Alghamdi </w:t>
      </w:r>
      <w:r w:rsidR="000B73A0">
        <w:rPr>
          <w:rFonts w:ascii="Times New Roman" w:hAnsi="Times New Roman"/>
          <w:vertAlign w:val="superscript"/>
        </w:rPr>
        <w:t>4</w:t>
      </w:r>
      <w:r w:rsidR="000B73A0">
        <w:rPr>
          <w:rFonts w:ascii="Times New Roman" w:hAnsi="Times New Roman"/>
        </w:rPr>
        <w:t xml:space="preserve">, </w:t>
      </w:r>
      <w:r w:rsidRPr="006B0404">
        <w:rPr>
          <w:rFonts w:ascii="Times New Roman" w:hAnsi="Times New Roman"/>
        </w:rPr>
        <w:t xml:space="preserve">and Abdullah I. Almarshad </w:t>
      </w:r>
      <w:r w:rsidR="000B73A0">
        <w:rPr>
          <w:rFonts w:ascii="Times New Roman" w:hAnsi="Times New Roman"/>
          <w:vertAlign w:val="superscript"/>
        </w:rPr>
        <w:t>5</w:t>
      </w:r>
    </w:p>
    <w:p w14:paraId="4D35CD00" w14:textId="40499DB7" w:rsidR="006B0404" w:rsidRPr="00080A08" w:rsidRDefault="006B0404" w:rsidP="006B0404">
      <w:pPr>
        <w:pStyle w:val="MDPI16affiliation"/>
        <w:rPr>
          <w:rFonts w:asciiTheme="majorBidi" w:hAnsiTheme="majorBidi" w:cstheme="majorBidi"/>
          <w:i/>
          <w:iCs/>
          <w:sz w:val="20"/>
          <w:szCs w:val="20"/>
        </w:rPr>
      </w:pPr>
      <w:r w:rsidRPr="00080A08">
        <w:rPr>
          <w:rFonts w:asciiTheme="majorBidi" w:hAnsiTheme="majorBidi" w:cstheme="majorBidi"/>
          <w:i/>
          <w:iCs/>
          <w:sz w:val="20"/>
          <w:szCs w:val="20"/>
          <w:vertAlign w:val="superscript"/>
        </w:rPr>
        <w:t>1</w:t>
      </w:r>
      <w:r w:rsidRPr="00080A08">
        <w:rPr>
          <w:rFonts w:asciiTheme="majorBidi" w:hAnsiTheme="majorBidi" w:cstheme="majorBidi"/>
          <w:i/>
          <w:iCs/>
          <w:sz w:val="20"/>
          <w:szCs w:val="20"/>
        </w:rPr>
        <w:tab/>
        <w:t xml:space="preserve">MS in Nuclear Engineering Program, College of Engineering, King Saud University, Riyadh 12372, Saudi Arabia; </w:t>
      </w:r>
    </w:p>
    <w:p w14:paraId="7AE04EC3" w14:textId="7245DB75" w:rsidR="006B0404" w:rsidRPr="00080A08" w:rsidRDefault="000B73A0" w:rsidP="000B73A0">
      <w:pPr>
        <w:pStyle w:val="MDPI16affiliation"/>
        <w:rPr>
          <w:rFonts w:asciiTheme="majorBidi" w:hAnsiTheme="majorBidi" w:cstheme="majorBidi"/>
          <w:i/>
          <w:iCs/>
          <w:sz w:val="20"/>
          <w:szCs w:val="20"/>
        </w:rPr>
      </w:pPr>
      <w:r w:rsidRPr="00080A08">
        <w:rPr>
          <w:rFonts w:asciiTheme="majorBidi" w:hAnsiTheme="majorBidi" w:cstheme="majorBidi"/>
          <w:i/>
          <w:iCs/>
          <w:sz w:val="20"/>
          <w:szCs w:val="20"/>
          <w:vertAlign w:val="superscript"/>
        </w:rPr>
        <w:t>2</w:t>
      </w:r>
      <w:r w:rsidRPr="00080A08">
        <w:rPr>
          <w:rFonts w:asciiTheme="majorBidi" w:hAnsiTheme="majorBidi" w:cstheme="majorBidi"/>
          <w:i/>
          <w:iCs/>
          <w:sz w:val="20"/>
          <w:szCs w:val="20"/>
        </w:rPr>
        <w:tab/>
        <w:t>K.A. CARE</w:t>
      </w:r>
      <w:r w:rsidR="006B0404" w:rsidRPr="00080A08">
        <w:rPr>
          <w:rFonts w:asciiTheme="majorBidi" w:hAnsiTheme="majorBidi" w:cstheme="majorBidi"/>
          <w:i/>
          <w:iCs/>
          <w:sz w:val="20"/>
          <w:szCs w:val="20"/>
        </w:rPr>
        <w:t xml:space="preserve"> Energy Research and Innovation Center at Riyadh, King Saud University, Riyadh 11421, Saudi Arabia</w:t>
      </w:r>
      <w:r w:rsidRPr="00080A08">
        <w:rPr>
          <w:rFonts w:asciiTheme="majorBidi" w:hAnsiTheme="majorBidi" w:cstheme="majorBidi"/>
          <w:i/>
          <w:iCs/>
          <w:sz w:val="20"/>
          <w:szCs w:val="20"/>
        </w:rPr>
        <w:t>.</w:t>
      </w:r>
    </w:p>
    <w:p w14:paraId="082E69E5" w14:textId="22572831" w:rsidR="006B0404" w:rsidRPr="00080A08" w:rsidRDefault="006B0404" w:rsidP="000B73A0">
      <w:pPr>
        <w:pStyle w:val="MDPI16affiliation"/>
        <w:rPr>
          <w:rFonts w:asciiTheme="majorBidi" w:hAnsiTheme="majorBidi" w:cstheme="majorBidi"/>
          <w:i/>
          <w:iCs/>
          <w:sz w:val="20"/>
          <w:szCs w:val="20"/>
        </w:rPr>
      </w:pPr>
      <w:r w:rsidRPr="00080A08">
        <w:rPr>
          <w:rFonts w:asciiTheme="majorBidi" w:hAnsiTheme="majorBidi" w:cstheme="majorBidi"/>
          <w:i/>
          <w:iCs/>
          <w:sz w:val="20"/>
          <w:szCs w:val="20"/>
          <w:vertAlign w:val="superscript"/>
        </w:rPr>
        <w:t xml:space="preserve">3 </w:t>
      </w:r>
      <w:r w:rsidR="000B73A0" w:rsidRPr="00080A08">
        <w:rPr>
          <w:rFonts w:asciiTheme="majorBidi" w:hAnsiTheme="majorBidi" w:cstheme="majorBidi"/>
          <w:i/>
          <w:iCs/>
          <w:sz w:val="20"/>
          <w:szCs w:val="20"/>
          <w:vertAlign w:val="superscript"/>
        </w:rPr>
        <w:tab/>
      </w:r>
      <w:r w:rsidRPr="00080A08">
        <w:rPr>
          <w:rFonts w:asciiTheme="majorBidi" w:hAnsiTheme="majorBidi" w:cstheme="majorBidi"/>
          <w:i/>
          <w:iCs/>
          <w:sz w:val="20"/>
          <w:szCs w:val="20"/>
        </w:rPr>
        <w:t>Engineering and Project Management Sector, King Abdullah City for Renewable and Atomic Energy (K.A.CARE), Riyadh 11451, Saudi Arabia</w:t>
      </w:r>
      <w:r w:rsidR="000B73A0" w:rsidRPr="00080A08">
        <w:rPr>
          <w:rFonts w:asciiTheme="majorBidi" w:hAnsiTheme="majorBidi" w:cstheme="majorBidi"/>
          <w:i/>
          <w:iCs/>
          <w:sz w:val="20"/>
          <w:szCs w:val="20"/>
        </w:rPr>
        <w:t>.</w:t>
      </w:r>
    </w:p>
    <w:p w14:paraId="7EF03DF5" w14:textId="2859AD66" w:rsidR="006B0404" w:rsidRPr="00080A08" w:rsidRDefault="006B0404" w:rsidP="000B73A0">
      <w:pPr>
        <w:pStyle w:val="MDPI16affiliation"/>
        <w:rPr>
          <w:rFonts w:asciiTheme="majorBidi" w:hAnsiTheme="majorBidi" w:cstheme="majorBidi"/>
          <w:i/>
          <w:iCs/>
          <w:sz w:val="20"/>
          <w:szCs w:val="20"/>
        </w:rPr>
      </w:pPr>
      <w:r w:rsidRPr="00080A08">
        <w:rPr>
          <w:rFonts w:asciiTheme="majorBidi" w:hAnsiTheme="majorBidi" w:cstheme="majorBidi"/>
          <w:i/>
          <w:iCs/>
          <w:sz w:val="20"/>
          <w:szCs w:val="20"/>
          <w:vertAlign w:val="superscript"/>
        </w:rPr>
        <w:t xml:space="preserve">4 </w:t>
      </w:r>
      <w:r w:rsidR="000B73A0" w:rsidRPr="00080A08">
        <w:rPr>
          <w:rFonts w:asciiTheme="majorBidi" w:hAnsiTheme="majorBidi" w:cstheme="majorBidi"/>
          <w:i/>
          <w:iCs/>
          <w:sz w:val="20"/>
          <w:szCs w:val="20"/>
          <w:vertAlign w:val="superscript"/>
        </w:rPr>
        <w:tab/>
      </w:r>
      <w:r w:rsidRPr="00080A08">
        <w:rPr>
          <w:rFonts w:asciiTheme="majorBidi" w:hAnsiTheme="majorBidi" w:cstheme="majorBidi"/>
          <w:i/>
          <w:iCs/>
          <w:sz w:val="20"/>
          <w:szCs w:val="20"/>
        </w:rPr>
        <w:t>Nuclear Technologies Institute, King Abdulaziz City for Science and Technology (KACST), Riyadh 11442, Saudi Arabia</w:t>
      </w:r>
      <w:r w:rsidR="000B73A0" w:rsidRPr="00080A08">
        <w:rPr>
          <w:rFonts w:asciiTheme="majorBidi" w:hAnsiTheme="majorBidi" w:cstheme="majorBidi"/>
          <w:i/>
          <w:iCs/>
          <w:sz w:val="20"/>
          <w:szCs w:val="20"/>
        </w:rPr>
        <w:t>.</w:t>
      </w:r>
    </w:p>
    <w:p w14:paraId="3CC6EB10" w14:textId="0CC046FB" w:rsidR="00781B6A" w:rsidRPr="00080A08" w:rsidRDefault="006B0404" w:rsidP="00F74408">
      <w:pPr>
        <w:pStyle w:val="MDPI16affiliation"/>
        <w:rPr>
          <w:rFonts w:asciiTheme="majorBidi" w:hAnsiTheme="majorBidi" w:cstheme="majorBidi"/>
          <w:i/>
          <w:iCs/>
          <w:sz w:val="20"/>
          <w:szCs w:val="20"/>
        </w:rPr>
      </w:pPr>
      <w:r w:rsidRPr="00080A08">
        <w:rPr>
          <w:rFonts w:asciiTheme="majorBidi" w:hAnsiTheme="majorBidi" w:cstheme="majorBidi"/>
          <w:i/>
          <w:iCs/>
          <w:sz w:val="20"/>
          <w:szCs w:val="20"/>
          <w:vertAlign w:val="superscript"/>
        </w:rPr>
        <w:t xml:space="preserve">5 </w:t>
      </w:r>
      <w:r w:rsidR="000B73A0" w:rsidRPr="00080A08">
        <w:rPr>
          <w:rFonts w:asciiTheme="majorBidi" w:hAnsiTheme="majorBidi" w:cstheme="majorBidi"/>
          <w:i/>
          <w:iCs/>
          <w:sz w:val="20"/>
          <w:szCs w:val="20"/>
          <w:vertAlign w:val="superscript"/>
        </w:rPr>
        <w:tab/>
      </w:r>
      <w:r w:rsidRPr="00080A08">
        <w:rPr>
          <w:rFonts w:asciiTheme="majorBidi" w:hAnsiTheme="majorBidi" w:cstheme="majorBidi"/>
          <w:i/>
          <w:iCs/>
          <w:sz w:val="20"/>
          <w:szCs w:val="20"/>
        </w:rPr>
        <w:t>Chemical Engineering Department, King Saud University, Riyadh 12372, Saudi Arabia</w:t>
      </w:r>
      <w:r w:rsidRPr="00080A08" w:rsidDel="006B0404">
        <w:rPr>
          <w:rFonts w:asciiTheme="majorBidi" w:hAnsiTheme="majorBidi" w:cstheme="majorBidi"/>
          <w:i/>
          <w:iCs/>
          <w:sz w:val="20"/>
          <w:szCs w:val="20"/>
        </w:rPr>
        <w:t xml:space="preserve"> </w:t>
      </w:r>
    </w:p>
    <w:p w14:paraId="1CF92FDC" w14:textId="382C53B1" w:rsidR="00781B6A" w:rsidRDefault="00057C1D" w:rsidP="006B0404">
      <w:pPr>
        <w:jc w:val="center"/>
        <w:rPr>
          <w:i/>
          <w:iCs/>
        </w:rPr>
      </w:pPr>
      <w:hyperlink r:id="rId11" w:history="1">
        <w:r w:rsidR="006B0404" w:rsidRPr="00F74408">
          <w:rPr>
            <w:rStyle w:val="Hyperlink"/>
            <w:i/>
            <w:iCs/>
          </w:rPr>
          <w:t>442105846@student.ksu.edu.sa</w:t>
        </w:r>
      </w:hyperlink>
      <w:r w:rsidR="006B0404" w:rsidRPr="00F74408">
        <w:rPr>
          <w:rStyle w:val="Hyperlink"/>
          <w:i/>
          <w:iCs/>
        </w:rPr>
        <w:t>,</w:t>
      </w:r>
      <w:r w:rsidR="006B0404">
        <w:t xml:space="preserve"> </w:t>
      </w:r>
      <w:hyperlink r:id="rId12" w:history="1">
        <w:r w:rsidR="006B0404" w:rsidRPr="0054482B">
          <w:rPr>
            <w:rStyle w:val="Hyperlink"/>
            <w:i/>
            <w:iCs/>
          </w:rPr>
          <w:t>ahmedg@kacst.edu.sa</w:t>
        </w:r>
      </w:hyperlink>
      <w:r w:rsidR="006B0404">
        <w:rPr>
          <w:i/>
          <w:iCs/>
        </w:rPr>
        <w:t xml:space="preserve">, </w:t>
      </w:r>
      <w:hyperlink r:id="rId13" w:history="1">
        <w:r w:rsidR="006B0404" w:rsidRPr="0054482B">
          <w:rPr>
            <w:rStyle w:val="Hyperlink"/>
            <w:i/>
            <w:iCs/>
          </w:rPr>
          <w:t>aalmarshad1@ksu.edu.sa</w:t>
        </w:r>
      </w:hyperlink>
      <w:r w:rsidR="006B0404">
        <w:rPr>
          <w:i/>
          <w:iCs/>
        </w:rPr>
        <w:t xml:space="preserve">. </w:t>
      </w:r>
    </w:p>
    <w:p w14:paraId="1EADBCC0" w14:textId="77777777" w:rsidR="00781B6A" w:rsidRDefault="00781B6A">
      <w:pPr>
        <w:jc w:val="center"/>
        <w:rPr>
          <w:i/>
          <w:iCs/>
        </w:rPr>
      </w:pPr>
    </w:p>
    <w:p w14:paraId="0A2EE393" w14:textId="77777777" w:rsidR="00781B6A" w:rsidRDefault="00781B6A"/>
    <w:p w14:paraId="43DD3F5E" w14:textId="6A9F1C93" w:rsidR="00781B6A" w:rsidRPr="00BB7497" w:rsidRDefault="00781B6A" w:rsidP="007D4C41">
      <w:pPr>
        <w:pStyle w:val="Author"/>
        <w:ind w:left="1080" w:right="1080"/>
        <w:jc w:val="both"/>
        <w:rPr>
          <w:rFonts w:ascii="Times New Roman" w:hAnsi="Times New Roman"/>
          <w:b w:val="0"/>
          <w:bCs/>
          <w:i/>
          <w:iCs/>
          <w:sz w:val="22"/>
          <w:szCs w:val="22"/>
        </w:rPr>
      </w:pPr>
      <w:r w:rsidRPr="00BB7497">
        <w:rPr>
          <w:rFonts w:ascii="Times New Roman" w:hAnsi="Times New Roman"/>
          <w:bCs/>
          <w:sz w:val="22"/>
          <w:szCs w:val="22"/>
        </w:rPr>
        <w:t>Abstract –</w:t>
      </w:r>
      <w:r w:rsidR="000B73A0" w:rsidRPr="000B73A0">
        <w:rPr>
          <w:rFonts w:ascii="Times New Roman" w:hAnsi="Times New Roman"/>
          <w:b w:val="0"/>
          <w:bCs/>
          <w:i/>
          <w:iCs/>
          <w:sz w:val="22"/>
          <w:szCs w:val="22"/>
        </w:rPr>
        <w:t>This study investigates the impact of simulating different fuel shapes for a material testing reactor (MTR) using the OpenMC code. Two 2-dimensional</w:t>
      </w:r>
      <w:r w:rsidR="007D4C41">
        <w:rPr>
          <w:rFonts w:ascii="Times New Roman" w:hAnsi="Times New Roman"/>
          <w:b w:val="0"/>
          <w:bCs/>
          <w:i/>
          <w:iCs/>
          <w:sz w:val="22"/>
          <w:szCs w:val="22"/>
        </w:rPr>
        <w:t xml:space="preserve"> infinte</w:t>
      </w:r>
      <w:r w:rsidR="000B73A0" w:rsidRPr="000B73A0">
        <w:rPr>
          <w:rFonts w:ascii="Times New Roman" w:hAnsi="Times New Roman"/>
          <w:b w:val="0"/>
          <w:bCs/>
          <w:i/>
          <w:iCs/>
          <w:sz w:val="22"/>
          <w:szCs w:val="22"/>
        </w:rPr>
        <w:t xml:space="preserve"> bare fuel element models were constructed: one with a curved fuel element shape to represent the actual dimensions of the MTR, and another with a simplified flat fuel element shape with the same amount of fuel as the curved model. The neutron distribution and k-</w:t>
      </w:r>
      <w:r w:rsidR="007D4C41">
        <w:rPr>
          <w:rFonts w:ascii="Times New Roman" w:hAnsi="Times New Roman"/>
          <w:b w:val="0"/>
          <w:bCs/>
          <w:i/>
          <w:iCs/>
          <w:sz w:val="22"/>
          <w:szCs w:val="22"/>
        </w:rPr>
        <w:t>inf</w:t>
      </w:r>
      <w:r w:rsidR="007D4C41" w:rsidRPr="000B73A0">
        <w:rPr>
          <w:rFonts w:ascii="Times New Roman" w:hAnsi="Times New Roman"/>
          <w:b w:val="0"/>
          <w:bCs/>
          <w:i/>
          <w:iCs/>
          <w:sz w:val="22"/>
          <w:szCs w:val="22"/>
        </w:rPr>
        <w:t xml:space="preserve"> </w:t>
      </w:r>
      <w:r w:rsidR="000B73A0" w:rsidRPr="000B73A0">
        <w:rPr>
          <w:rFonts w:ascii="Times New Roman" w:hAnsi="Times New Roman"/>
          <w:b w:val="0"/>
          <w:bCs/>
          <w:i/>
          <w:iCs/>
          <w:sz w:val="22"/>
          <w:szCs w:val="22"/>
        </w:rPr>
        <w:t>were calculated and compared between the two models. The neutron distribution and k-</w:t>
      </w:r>
      <w:r w:rsidR="007D4C41">
        <w:rPr>
          <w:rFonts w:ascii="Times New Roman" w:hAnsi="Times New Roman"/>
          <w:b w:val="0"/>
          <w:bCs/>
          <w:i/>
          <w:iCs/>
          <w:sz w:val="22"/>
          <w:szCs w:val="22"/>
        </w:rPr>
        <w:t>inf</w:t>
      </w:r>
      <w:r w:rsidR="000B73A0" w:rsidRPr="000B73A0">
        <w:rPr>
          <w:rFonts w:ascii="Times New Roman" w:hAnsi="Times New Roman"/>
          <w:b w:val="0"/>
          <w:bCs/>
          <w:i/>
          <w:iCs/>
          <w:sz w:val="22"/>
          <w:szCs w:val="22"/>
        </w:rPr>
        <w:t xml:space="preserve"> showed only slight differences due to shape changes. The results indicate that simulating the MTR fuel as flat elements provides a satisfactory approximation of the real shape. However, it may introduce discrepancies for in-depth simulation studies.</w:t>
      </w:r>
    </w:p>
    <w:p w14:paraId="0ED2895C" w14:textId="77777777" w:rsidR="00514AC8" w:rsidRPr="00BB7497" w:rsidRDefault="00514AC8" w:rsidP="00514AC8">
      <w:pPr>
        <w:pStyle w:val="Affiliation"/>
        <w:jc w:val="left"/>
        <w:rPr>
          <w:rFonts w:ascii="Times New Roman" w:hAnsi="Times New Roman"/>
          <w:b/>
          <w:bCs/>
          <w:sz w:val="22"/>
          <w:szCs w:val="22"/>
        </w:rPr>
      </w:pPr>
    </w:p>
    <w:p w14:paraId="11B06446" w14:textId="15ECBCD2" w:rsidR="00514AC8" w:rsidRPr="00BB7497" w:rsidRDefault="00514AC8" w:rsidP="000B73A0">
      <w:pPr>
        <w:pStyle w:val="Affiliation"/>
        <w:ind w:firstLine="1080"/>
        <w:jc w:val="left"/>
        <w:rPr>
          <w:sz w:val="22"/>
          <w:szCs w:val="22"/>
        </w:rPr>
      </w:pPr>
      <w:r w:rsidRPr="00BB7497">
        <w:rPr>
          <w:rFonts w:ascii="Times New Roman" w:hAnsi="Times New Roman"/>
          <w:b/>
          <w:bCs/>
          <w:sz w:val="22"/>
          <w:szCs w:val="22"/>
        </w:rPr>
        <w:t xml:space="preserve">Keywords: </w:t>
      </w:r>
      <w:r w:rsidR="000B73A0">
        <w:rPr>
          <w:rFonts w:ascii="Times New Roman" w:hAnsi="Times New Roman"/>
          <w:sz w:val="22"/>
          <w:szCs w:val="22"/>
        </w:rPr>
        <w:t>M</w:t>
      </w:r>
      <w:r w:rsidR="000B73A0" w:rsidRPr="000B73A0">
        <w:rPr>
          <w:rFonts w:ascii="Times New Roman" w:hAnsi="Times New Roman"/>
          <w:sz w:val="22"/>
          <w:szCs w:val="22"/>
        </w:rPr>
        <w:t>aterial testing reactor (MTR); OpenMC; Monte Carlo</w:t>
      </w:r>
      <w:r w:rsidR="000B73A0">
        <w:rPr>
          <w:rFonts w:ascii="Times New Roman" w:hAnsi="Times New Roman"/>
          <w:sz w:val="22"/>
          <w:szCs w:val="22"/>
        </w:rPr>
        <w:t>, Bare Reactor</w:t>
      </w:r>
    </w:p>
    <w:p w14:paraId="19D4BF22" w14:textId="3BF42B94" w:rsidR="00781B6A" w:rsidRDefault="00781B6A">
      <w:pPr>
        <w:pStyle w:val="Affiliation"/>
      </w:pPr>
    </w:p>
    <w:p w14:paraId="11B547DB" w14:textId="77777777" w:rsidR="00781B6A" w:rsidRDefault="00781B6A">
      <w:pPr>
        <w:pStyle w:val="Affiliation"/>
      </w:pPr>
    </w:p>
    <w:bookmarkEnd w:id="0"/>
    <w:p w14:paraId="7292617D" w14:textId="77777777" w:rsidR="00781B6A" w:rsidRPr="00BB7497" w:rsidRDefault="00781B6A">
      <w:pPr>
        <w:pStyle w:val="Header"/>
        <w:rPr>
          <w:sz w:val="22"/>
          <w:szCs w:val="22"/>
        </w:rPr>
        <w:sectPr w:rsidR="00781B6A" w:rsidRPr="00BB7497">
          <w:headerReference w:type="default" r:id="rId14"/>
          <w:footerReference w:type="default" r:id="rId15"/>
          <w:type w:val="continuous"/>
          <w:pgSz w:w="12240" w:h="15840"/>
          <w:pgMar w:top="1440" w:right="1080" w:bottom="1440" w:left="1080" w:header="432" w:footer="720" w:gutter="0"/>
          <w:cols w:space="720"/>
        </w:sectPr>
      </w:pPr>
    </w:p>
    <w:p w14:paraId="74B2FCCE" w14:textId="7E3F3D05"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E93F48" w:rsidRPr="00BB7497">
        <w:rPr>
          <w:rFonts w:ascii="Times New Roman" w:hAnsi="Times New Roman"/>
          <w:caps w:val="0"/>
          <w:sz w:val="22"/>
          <w:szCs w:val="22"/>
        </w:rPr>
        <w:t>Introduction</w:t>
      </w:r>
    </w:p>
    <w:p w14:paraId="1199698B" w14:textId="77777777" w:rsidR="00781B6A" w:rsidRPr="00BB7497" w:rsidRDefault="00781B6A">
      <w:pPr>
        <w:pStyle w:val="BodyTextIndent"/>
        <w:rPr>
          <w:sz w:val="22"/>
          <w:szCs w:val="22"/>
        </w:rPr>
      </w:pPr>
    </w:p>
    <w:p w14:paraId="5149C1A1" w14:textId="77777777" w:rsidR="00F52276" w:rsidRDefault="00F74408" w:rsidP="00F52276">
      <w:pPr>
        <w:pStyle w:val="BodyTextIndent"/>
        <w:rPr>
          <w:sz w:val="22"/>
          <w:szCs w:val="22"/>
        </w:rPr>
      </w:pPr>
      <w:r>
        <w:rPr>
          <w:sz w:val="22"/>
          <w:szCs w:val="22"/>
        </w:rPr>
        <w:t>Nuclear</w:t>
      </w:r>
      <w:r w:rsidR="00120576">
        <w:rPr>
          <w:sz w:val="22"/>
          <w:szCs w:val="22"/>
        </w:rPr>
        <w:t xml:space="preserve"> </w:t>
      </w:r>
      <w:r w:rsidR="00120576" w:rsidRPr="00120576">
        <w:rPr>
          <w:sz w:val="22"/>
          <w:szCs w:val="22"/>
        </w:rPr>
        <w:t xml:space="preserve">Material Testing Reactors (MTR) are pivotal in nuclear research and development, with applications spanning materials sciences, nuclear power, medicine, and physics </w:t>
      </w:r>
      <w:r w:rsidR="00120576" w:rsidRPr="008A4E68">
        <w:rPr>
          <w:sz w:val="22"/>
          <w:szCs w:val="22"/>
        </w:rPr>
        <w:t>[1].</w:t>
      </w:r>
      <w:r w:rsidR="00120576" w:rsidRPr="00120576">
        <w:rPr>
          <w:sz w:val="22"/>
          <w:szCs w:val="22"/>
        </w:rPr>
        <w:t xml:space="preserve"> They support nuclear fuel testing and study radiation-resistant materials. MTRs influence nuclear power plant design using their diverse power range (0 to 200 MW</w:t>
      </w:r>
      <w:r w:rsidR="00120576" w:rsidRPr="00F52276">
        <w:rPr>
          <w:sz w:val="22"/>
          <w:szCs w:val="22"/>
          <w:vertAlign w:val="subscript"/>
        </w:rPr>
        <w:t>th</w:t>
      </w:r>
      <w:r w:rsidR="00120576" w:rsidRPr="00120576">
        <w:rPr>
          <w:sz w:val="22"/>
          <w:szCs w:val="22"/>
        </w:rPr>
        <w:t xml:space="preserve">) and higher fuel enrichment (up to 20% </w:t>
      </w:r>
      <w:r w:rsidR="00120576" w:rsidRPr="00F52276">
        <w:rPr>
          <w:sz w:val="22"/>
          <w:szCs w:val="22"/>
          <w:vertAlign w:val="superscript"/>
        </w:rPr>
        <w:t>235</w:t>
      </w:r>
      <w:r w:rsidR="00120576" w:rsidRPr="00120576">
        <w:rPr>
          <w:sz w:val="22"/>
          <w:szCs w:val="22"/>
        </w:rPr>
        <w:t xml:space="preserve">U) </w:t>
      </w:r>
      <w:r w:rsidR="00120576" w:rsidRPr="008A4E68">
        <w:rPr>
          <w:sz w:val="22"/>
          <w:szCs w:val="22"/>
        </w:rPr>
        <w:t>[2].</w:t>
      </w:r>
      <w:r w:rsidR="00120576" w:rsidRPr="00120576">
        <w:rPr>
          <w:sz w:val="22"/>
          <w:szCs w:val="22"/>
        </w:rPr>
        <w:t xml:space="preserve"> These reactors come in pool-type, tank-type, or tank-in-pool-type designs, informing new nuclear power plant parameters</w:t>
      </w:r>
      <w:r w:rsidR="00F52276">
        <w:rPr>
          <w:sz w:val="22"/>
          <w:szCs w:val="22"/>
        </w:rPr>
        <w:t>.</w:t>
      </w:r>
    </w:p>
    <w:p w14:paraId="688302CD" w14:textId="6CB2853C" w:rsidR="00A041B0" w:rsidRDefault="00A041B0" w:rsidP="00F57D3E">
      <w:pPr>
        <w:pStyle w:val="BodyTextIndent"/>
        <w:rPr>
          <w:sz w:val="22"/>
          <w:szCs w:val="22"/>
        </w:rPr>
      </w:pPr>
      <w:r>
        <w:rPr>
          <w:sz w:val="22"/>
          <w:szCs w:val="22"/>
        </w:rPr>
        <w:t>I</w:t>
      </w:r>
      <w:r w:rsidR="008A4E68">
        <w:rPr>
          <w:sz w:val="22"/>
          <w:szCs w:val="22"/>
        </w:rPr>
        <w:t>n</w:t>
      </w:r>
      <w:r w:rsidRPr="00A041B0">
        <w:rPr>
          <w:sz w:val="22"/>
          <w:szCs w:val="22"/>
        </w:rPr>
        <w:t xml:space="preserve"> nuclear reactor </w:t>
      </w:r>
      <w:r w:rsidRPr="008A4E68">
        <w:rPr>
          <w:sz w:val="22"/>
          <w:szCs w:val="22"/>
        </w:rPr>
        <w:t>theory [</w:t>
      </w:r>
      <w:r w:rsidR="00F57D3E">
        <w:rPr>
          <w:sz w:val="22"/>
          <w:szCs w:val="22"/>
        </w:rPr>
        <w:t>3</w:t>
      </w:r>
      <w:r w:rsidRPr="008A4E68">
        <w:rPr>
          <w:sz w:val="22"/>
          <w:szCs w:val="22"/>
        </w:rPr>
        <w:t>], realizing</w:t>
      </w:r>
      <w:r w:rsidRPr="00A041B0">
        <w:rPr>
          <w:sz w:val="22"/>
          <w:szCs w:val="22"/>
        </w:rPr>
        <w:t xml:space="preserve"> the external power yield and control of the fission reaction relies on two fundamental considerations. Firstly, meticulous attention must be given to the material composition of the fuel assembly and core of the nuclear reactor. Secondly, the reactor core geometry, including the </w:t>
      </w:r>
      <w:r w:rsidRPr="00A041B0">
        <w:rPr>
          <w:sz w:val="22"/>
          <w:szCs w:val="22"/>
        </w:rPr>
        <w:t>shape of the fuel, plays a vital role, as variations in geometry can impact the output of the fission reaction and induce changes in several control parameters. The synergy of these considerations yields valuable insights into the behavior of neutrons within the core. Notably, the interaction between the nuclear fuel and neutrons stands at the forefront of the fission reaction, and gaining a profound understanding of this interaction holds utmost importance for the effective control of the reactor.</w:t>
      </w:r>
    </w:p>
    <w:p w14:paraId="4572B2F7" w14:textId="14D69E90" w:rsidR="00781B6A" w:rsidRDefault="00A041B0" w:rsidP="00F57D3E">
      <w:pPr>
        <w:pStyle w:val="BodyTextIndent"/>
        <w:rPr>
          <w:sz w:val="22"/>
          <w:szCs w:val="22"/>
        </w:rPr>
      </w:pPr>
      <w:r>
        <w:rPr>
          <w:sz w:val="22"/>
          <w:szCs w:val="22"/>
        </w:rPr>
        <w:t xml:space="preserve"> </w:t>
      </w:r>
      <w:r w:rsidRPr="00A041B0">
        <w:rPr>
          <w:sz w:val="22"/>
          <w:szCs w:val="22"/>
        </w:rPr>
        <w:t xml:space="preserve">The primary focus of this paper lies in the meticulous examination of the shape of Material Testing Reactor (MTR) fuel elements' plates. Traditionally, MTR fuel elements are deliberately designed and fabricated in a curved configuration to ensure structural stability and mitigate thermal expansion arising from the </w:t>
      </w:r>
      <w:r w:rsidRPr="00F57D3E">
        <w:rPr>
          <w:sz w:val="22"/>
          <w:szCs w:val="22"/>
        </w:rPr>
        <w:t>substantial power generation within the fuel plates [</w:t>
      </w:r>
      <w:r w:rsidR="00F57D3E">
        <w:rPr>
          <w:sz w:val="22"/>
          <w:szCs w:val="22"/>
        </w:rPr>
        <w:t>4</w:t>
      </w:r>
      <w:r w:rsidRPr="00F57D3E">
        <w:rPr>
          <w:sz w:val="22"/>
          <w:szCs w:val="22"/>
        </w:rPr>
        <w:t>]. Introducing</w:t>
      </w:r>
      <w:r w:rsidRPr="00A041B0">
        <w:rPr>
          <w:sz w:val="22"/>
          <w:szCs w:val="22"/>
        </w:rPr>
        <w:t xml:space="preserve"> curvature to the fuel plates provides enhanced </w:t>
      </w:r>
      <w:r w:rsidRPr="00A041B0">
        <w:rPr>
          <w:sz w:val="22"/>
          <w:szCs w:val="22"/>
        </w:rPr>
        <w:lastRenderedPageBreak/>
        <w:t>structural integrity, bolstering sustainability during reactor operation.</w:t>
      </w:r>
    </w:p>
    <w:p w14:paraId="215F786E" w14:textId="1BC4CA48" w:rsidR="00573352" w:rsidRDefault="00573352" w:rsidP="00FE5C3B">
      <w:pPr>
        <w:pStyle w:val="BodyTextIndent"/>
        <w:rPr>
          <w:sz w:val="22"/>
          <w:szCs w:val="22"/>
        </w:rPr>
      </w:pPr>
      <w:r w:rsidRPr="00573352">
        <w:rPr>
          <w:sz w:val="22"/>
          <w:szCs w:val="22"/>
        </w:rPr>
        <w:t xml:space="preserve">In preceding </w:t>
      </w:r>
      <w:r w:rsidRPr="00F57D3E">
        <w:rPr>
          <w:sz w:val="22"/>
          <w:szCs w:val="22"/>
        </w:rPr>
        <w:t>studies [</w:t>
      </w:r>
      <w:r w:rsidR="00F57D3E" w:rsidRPr="00F57D3E">
        <w:rPr>
          <w:sz w:val="22"/>
          <w:szCs w:val="22"/>
        </w:rPr>
        <w:t>5</w:t>
      </w:r>
      <w:r w:rsidRPr="00F57D3E">
        <w:rPr>
          <w:sz w:val="22"/>
          <w:szCs w:val="22"/>
        </w:rPr>
        <w:t>,</w:t>
      </w:r>
      <w:r w:rsidR="00F57D3E" w:rsidRPr="00F57D3E">
        <w:rPr>
          <w:sz w:val="22"/>
          <w:szCs w:val="22"/>
        </w:rPr>
        <w:t>6</w:t>
      </w:r>
      <w:r w:rsidRPr="00F57D3E">
        <w:rPr>
          <w:sz w:val="22"/>
          <w:szCs w:val="22"/>
        </w:rPr>
        <w:t>], the</w:t>
      </w:r>
      <w:r w:rsidRPr="00573352">
        <w:rPr>
          <w:sz w:val="22"/>
          <w:szCs w:val="22"/>
        </w:rPr>
        <w:t xml:space="preserve"> simulation of MTR fuel elements adopted a non-curved plate configuration for the sake of simplicity. As a consequence, these investigations might not have fully captured the involved geometric characteristics of the fuel, which, in turn, </w:t>
      </w:r>
      <w:r>
        <w:rPr>
          <w:sz w:val="22"/>
          <w:szCs w:val="22"/>
        </w:rPr>
        <w:t>needs</w:t>
      </w:r>
      <w:r w:rsidRPr="00573352">
        <w:rPr>
          <w:sz w:val="22"/>
          <w:szCs w:val="22"/>
        </w:rPr>
        <w:t xml:space="preserve"> further exploration. To address this aspect, the present paper investigates into the profound impact of various fuel element shapes on key parameters, encompassing both the curved and non-curved fuel assemblies. By building upon a previous </w:t>
      </w:r>
      <w:r w:rsidRPr="00FE5C3B">
        <w:rPr>
          <w:sz w:val="22"/>
          <w:szCs w:val="22"/>
        </w:rPr>
        <w:t>study [</w:t>
      </w:r>
      <w:r w:rsidR="00FE5C3B" w:rsidRPr="00FE5C3B">
        <w:rPr>
          <w:sz w:val="22"/>
          <w:szCs w:val="22"/>
        </w:rPr>
        <w:t>7</w:t>
      </w:r>
      <w:r w:rsidRPr="00FE5C3B">
        <w:rPr>
          <w:sz w:val="22"/>
          <w:szCs w:val="22"/>
        </w:rPr>
        <w:t>],</w:t>
      </w:r>
      <w:r w:rsidRPr="00573352">
        <w:rPr>
          <w:sz w:val="22"/>
          <w:szCs w:val="22"/>
        </w:rPr>
        <w:t xml:space="preserve"> which investigated into the primary discrepancies arising from changes in the shape of the fuel element, this research </w:t>
      </w:r>
      <w:r>
        <w:rPr>
          <w:sz w:val="22"/>
          <w:szCs w:val="22"/>
        </w:rPr>
        <w:t xml:space="preserve">seeks to focus on bare infinite reactors for both fuel shapes in order to investigate those </w:t>
      </w:r>
      <w:r w:rsidRPr="00573352">
        <w:rPr>
          <w:sz w:val="22"/>
          <w:szCs w:val="22"/>
        </w:rPr>
        <w:t>discrepancies</w:t>
      </w:r>
      <w:r>
        <w:rPr>
          <w:sz w:val="22"/>
          <w:szCs w:val="22"/>
        </w:rPr>
        <w:t>.</w:t>
      </w:r>
    </w:p>
    <w:p w14:paraId="30E1370C" w14:textId="5CCDB550" w:rsidR="00573352" w:rsidRDefault="00573352">
      <w:pPr>
        <w:pStyle w:val="BodyTextIndent"/>
        <w:rPr>
          <w:sz w:val="22"/>
          <w:szCs w:val="22"/>
        </w:rPr>
      </w:pPr>
      <w:r w:rsidRPr="00573352">
        <w:rPr>
          <w:sz w:val="22"/>
          <w:szCs w:val="22"/>
        </w:rPr>
        <w:t>The comparative analysis in this study revolves aroun</w:t>
      </w:r>
      <w:r w:rsidR="00FE5C3B">
        <w:rPr>
          <w:sz w:val="22"/>
          <w:szCs w:val="22"/>
        </w:rPr>
        <w:t>d two aspects: the k-</w:t>
      </w:r>
      <w:r w:rsidR="007D4C41">
        <w:rPr>
          <w:sz w:val="22"/>
          <w:szCs w:val="22"/>
        </w:rPr>
        <w:t>inf</w:t>
      </w:r>
      <w:r w:rsidR="00FE5C3B">
        <w:rPr>
          <w:sz w:val="22"/>
          <w:szCs w:val="22"/>
        </w:rPr>
        <w:t xml:space="preserve">, </w:t>
      </w:r>
      <w:r w:rsidRPr="00573352">
        <w:rPr>
          <w:sz w:val="22"/>
          <w:szCs w:val="22"/>
        </w:rPr>
        <w:t>2D fission distribution</w:t>
      </w:r>
      <w:r w:rsidR="00FE5C3B">
        <w:rPr>
          <w:sz w:val="22"/>
          <w:szCs w:val="22"/>
        </w:rPr>
        <w:t xml:space="preserve"> and XY flux distribution</w:t>
      </w:r>
      <w:r w:rsidRPr="00573352">
        <w:rPr>
          <w:sz w:val="22"/>
          <w:szCs w:val="22"/>
        </w:rPr>
        <w:t xml:space="preserve">, given their profound susceptibility to model geometry. The initial step entails a meticulous examination of the designed shape of the fuel plates (curved) </w:t>
      </w:r>
      <w:r w:rsidR="00763FC5" w:rsidRPr="00573352">
        <w:rPr>
          <w:sz w:val="22"/>
          <w:szCs w:val="22"/>
        </w:rPr>
        <w:t>in relation to</w:t>
      </w:r>
      <w:r w:rsidRPr="00573352">
        <w:rPr>
          <w:sz w:val="22"/>
          <w:szCs w:val="22"/>
        </w:rPr>
        <w:t xml:space="preserve"> a flattened </w:t>
      </w:r>
      <w:r w:rsidR="00763FC5">
        <w:rPr>
          <w:sz w:val="22"/>
          <w:szCs w:val="22"/>
        </w:rPr>
        <w:t>shape</w:t>
      </w:r>
      <w:r w:rsidRPr="00573352">
        <w:rPr>
          <w:sz w:val="22"/>
          <w:szCs w:val="22"/>
        </w:rPr>
        <w:t>, while ensuring that the total volume of the fuel remains constant. By preserving the total volume, any observed variations in the k-</w:t>
      </w:r>
      <w:r w:rsidR="00096EEC">
        <w:rPr>
          <w:sz w:val="22"/>
          <w:szCs w:val="22"/>
        </w:rPr>
        <w:t>inf</w:t>
      </w:r>
      <w:r w:rsidR="00096EEC" w:rsidRPr="00573352">
        <w:rPr>
          <w:sz w:val="22"/>
          <w:szCs w:val="22"/>
        </w:rPr>
        <w:t xml:space="preserve"> </w:t>
      </w:r>
      <w:r w:rsidRPr="00573352">
        <w:rPr>
          <w:sz w:val="22"/>
          <w:szCs w:val="22"/>
        </w:rPr>
        <w:t xml:space="preserve">will </w:t>
      </w:r>
      <w:r w:rsidR="00763FC5" w:rsidRPr="00573352">
        <w:rPr>
          <w:sz w:val="22"/>
          <w:szCs w:val="22"/>
        </w:rPr>
        <w:t>clearly</w:t>
      </w:r>
      <w:r w:rsidRPr="00573352">
        <w:rPr>
          <w:sz w:val="22"/>
          <w:szCs w:val="22"/>
        </w:rPr>
        <w:t xml:space="preserve"> </w:t>
      </w:r>
      <w:r w:rsidR="00763FC5" w:rsidRPr="00573352">
        <w:rPr>
          <w:sz w:val="22"/>
          <w:szCs w:val="22"/>
        </w:rPr>
        <w:t>show</w:t>
      </w:r>
      <w:r w:rsidRPr="00573352">
        <w:rPr>
          <w:sz w:val="22"/>
          <w:szCs w:val="22"/>
        </w:rPr>
        <w:t xml:space="preserve"> the impact of shape alterations on the reactor's </w:t>
      </w:r>
      <w:r w:rsidR="00763FC5" w:rsidRPr="00573352">
        <w:rPr>
          <w:sz w:val="22"/>
          <w:szCs w:val="22"/>
        </w:rPr>
        <w:t>neutronics</w:t>
      </w:r>
      <w:r w:rsidRPr="00573352">
        <w:rPr>
          <w:sz w:val="22"/>
          <w:szCs w:val="22"/>
        </w:rPr>
        <w:t xml:space="preserve"> performance.</w:t>
      </w:r>
    </w:p>
    <w:p w14:paraId="44097779" w14:textId="1568993D" w:rsidR="00763FC5" w:rsidRDefault="00B069EC" w:rsidP="00763FC5">
      <w:pPr>
        <w:pStyle w:val="BodyTextIndent"/>
        <w:rPr>
          <w:sz w:val="22"/>
          <w:szCs w:val="22"/>
        </w:rPr>
      </w:pPr>
      <w:r>
        <w:rPr>
          <w:sz w:val="22"/>
          <w:szCs w:val="22"/>
        </w:rPr>
        <w:t>T</w:t>
      </w:r>
      <w:r w:rsidR="00763FC5" w:rsidRPr="00763FC5">
        <w:rPr>
          <w:sz w:val="22"/>
          <w:szCs w:val="22"/>
        </w:rPr>
        <w:t>his study aims to explore how the shape of the fuel elements impacts a 2D bare reactor setup. By focusing on the 2D configuration instead of a 3D core and using bare fuel elements, we can isolate the effects of the fuel element shape more effectively. This allows us to concentrate on the essential aspects without being influenced by other reactor components.</w:t>
      </w:r>
    </w:p>
    <w:p w14:paraId="536CFA3A" w14:textId="03D55115" w:rsidR="00A041B0" w:rsidRPr="00BB7497" w:rsidRDefault="00763FC5" w:rsidP="000B2753">
      <w:pPr>
        <w:pStyle w:val="BodyTextIndent"/>
        <w:rPr>
          <w:sz w:val="22"/>
          <w:szCs w:val="22"/>
        </w:rPr>
      </w:pPr>
      <w:r w:rsidRPr="00763FC5">
        <w:rPr>
          <w:sz w:val="22"/>
          <w:szCs w:val="22"/>
        </w:rPr>
        <w:t xml:space="preserve">The research seeks to reveal the relationship between fuel shape and its influence on the reactor's </w:t>
      </w:r>
      <w:r w:rsidR="00B069EC">
        <w:rPr>
          <w:sz w:val="22"/>
          <w:szCs w:val="22"/>
        </w:rPr>
        <w:t>parameters</w:t>
      </w:r>
      <w:r w:rsidRPr="00763FC5">
        <w:rPr>
          <w:sz w:val="22"/>
          <w:szCs w:val="22"/>
        </w:rPr>
        <w:t>, specifically in the 2D bare reactor context. The insights gained from this investigation can lead to improvements in reactor performance, safety, and efficiency. Ultimately, the study's findings will contribute to a better understanding of how fuel element geometry affects reactor parameters, which can have significant implications for future reactor design and optimization efforts.</w:t>
      </w:r>
    </w:p>
    <w:p w14:paraId="5C4893C8" w14:textId="77777777" w:rsidR="00781B6A" w:rsidRPr="00BB7497" w:rsidRDefault="00781B6A">
      <w:pPr>
        <w:pStyle w:val="BodyTextIndent"/>
        <w:rPr>
          <w:sz w:val="22"/>
          <w:szCs w:val="22"/>
        </w:rPr>
      </w:pPr>
    </w:p>
    <w:p w14:paraId="675A48A1" w14:textId="363D49D2" w:rsidR="00781B6A" w:rsidRPr="00BB7497" w:rsidRDefault="00781B6A" w:rsidP="00224AF3">
      <w:pPr>
        <w:pStyle w:val="AbstractClauseTitle"/>
        <w:jc w:val="left"/>
        <w:rPr>
          <w:rFonts w:ascii="Times New Roman" w:hAnsi="Times New Roman"/>
          <w:sz w:val="22"/>
          <w:szCs w:val="22"/>
        </w:rPr>
      </w:pPr>
      <w:r w:rsidRPr="00BB7497">
        <w:rPr>
          <w:rFonts w:ascii="Times New Roman" w:hAnsi="Times New Roman"/>
          <w:sz w:val="22"/>
          <w:szCs w:val="22"/>
        </w:rPr>
        <w:t xml:space="preserve">II. </w:t>
      </w:r>
      <w:r w:rsidR="00224AF3">
        <w:rPr>
          <w:rFonts w:ascii="Times New Roman" w:hAnsi="Times New Roman"/>
          <w:caps w:val="0"/>
          <w:sz w:val="22"/>
          <w:szCs w:val="22"/>
        </w:rPr>
        <w:t>Background</w:t>
      </w:r>
    </w:p>
    <w:p w14:paraId="0DA134B0" w14:textId="77777777" w:rsidR="00781B6A" w:rsidRPr="00BB7497" w:rsidRDefault="00781B6A">
      <w:pPr>
        <w:pStyle w:val="BodyTextIndent"/>
        <w:rPr>
          <w:sz w:val="22"/>
          <w:szCs w:val="22"/>
        </w:rPr>
      </w:pPr>
    </w:p>
    <w:p w14:paraId="7C6F0280" w14:textId="12ABCFDD" w:rsidR="00781B6A" w:rsidRDefault="00224AF3" w:rsidP="00FE5C3B">
      <w:pPr>
        <w:pStyle w:val="BodyTextIndent"/>
        <w:rPr>
          <w:sz w:val="22"/>
          <w:szCs w:val="22"/>
        </w:rPr>
      </w:pPr>
      <w:r w:rsidRPr="00224AF3">
        <w:rPr>
          <w:sz w:val="22"/>
          <w:szCs w:val="22"/>
        </w:rPr>
        <w:t xml:space="preserve">A Material Testing Reactor (MTR) is among the earliest nuclear reactors specifically designed for advancing future nuclear reactor </w:t>
      </w:r>
      <w:r w:rsidRPr="00FE5C3B">
        <w:rPr>
          <w:sz w:val="22"/>
          <w:szCs w:val="22"/>
        </w:rPr>
        <w:t>concepts [</w:t>
      </w:r>
      <w:r w:rsidR="00FE5C3B">
        <w:rPr>
          <w:sz w:val="22"/>
          <w:szCs w:val="22"/>
        </w:rPr>
        <w:t>8</w:t>
      </w:r>
      <w:r w:rsidRPr="00FE5C3B">
        <w:rPr>
          <w:sz w:val="22"/>
          <w:szCs w:val="22"/>
        </w:rPr>
        <w:t>]. Initially</w:t>
      </w:r>
      <w:r w:rsidRPr="00224AF3">
        <w:rPr>
          <w:sz w:val="22"/>
          <w:szCs w:val="22"/>
        </w:rPr>
        <w:t xml:space="preserve"> </w:t>
      </w:r>
      <w:r w:rsidRPr="00224AF3">
        <w:rPr>
          <w:sz w:val="22"/>
          <w:szCs w:val="22"/>
        </w:rPr>
        <w:t xml:space="preserve">built in 1944 at Clinton Laboratories, now Oak Ridge </w:t>
      </w:r>
      <w:r w:rsidRPr="00FE5C3B">
        <w:rPr>
          <w:sz w:val="22"/>
          <w:szCs w:val="22"/>
        </w:rPr>
        <w:t>National Laboratory, its primary role was military-based [</w:t>
      </w:r>
      <w:r w:rsidR="00FE5C3B" w:rsidRPr="00FE5C3B">
        <w:rPr>
          <w:sz w:val="22"/>
          <w:szCs w:val="22"/>
        </w:rPr>
        <w:t>9</w:t>
      </w:r>
      <w:r w:rsidRPr="00FE5C3B">
        <w:rPr>
          <w:sz w:val="22"/>
          <w:szCs w:val="22"/>
        </w:rPr>
        <w:t>]. However, over time, MTRs have evolved to serve medical, industrial, and educational applications. Currently, there are 47 pool-type MTR reactors worldwide, featuring fuel elements composed of curved aluminum-clad plates vertically housed within a box [</w:t>
      </w:r>
      <w:r w:rsidR="00FE5C3B" w:rsidRPr="00FE5C3B">
        <w:rPr>
          <w:sz w:val="22"/>
          <w:szCs w:val="22"/>
        </w:rPr>
        <w:t>10</w:t>
      </w:r>
      <w:r w:rsidRPr="00FE5C3B">
        <w:rPr>
          <w:sz w:val="22"/>
          <w:szCs w:val="22"/>
        </w:rPr>
        <w:t>]. Considered a pioneering research reactor, the MTR continues</w:t>
      </w:r>
      <w:r w:rsidRPr="00224AF3">
        <w:rPr>
          <w:sz w:val="22"/>
          <w:szCs w:val="22"/>
        </w:rPr>
        <w:t xml:space="preserve"> to influence future designs and remains instrumental in testing various nuclear scenarios for power reactor development.</w:t>
      </w:r>
    </w:p>
    <w:p w14:paraId="7424C0C6" w14:textId="557C42B7" w:rsidR="00224AF3" w:rsidRDefault="00224AF3" w:rsidP="00224AF3">
      <w:pPr>
        <w:pStyle w:val="BodyTextIndent"/>
        <w:rPr>
          <w:sz w:val="22"/>
          <w:szCs w:val="22"/>
        </w:rPr>
      </w:pPr>
      <w:r w:rsidRPr="00224AF3">
        <w:rPr>
          <w:sz w:val="22"/>
          <w:szCs w:val="22"/>
        </w:rPr>
        <w:t>The Monte Carlo method, initially developed to estimate probabilities under uncertain conditions, serves as a suitable approach for understanding neutron movements and interactions. As a result, this method finds practical utility in neutron transport theory, facilitating the analysis of nuclear reactors. By utilizing the Monte Carlo method, researchers gain valuable insights into the intricate behavior of neutrons within reactor systems.</w:t>
      </w:r>
    </w:p>
    <w:p w14:paraId="1B1843C5" w14:textId="63DF7F48" w:rsidR="00224AF3" w:rsidRDefault="007B79CB" w:rsidP="000B2753">
      <w:pPr>
        <w:pStyle w:val="BodyTextIndent"/>
        <w:rPr>
          <w:sz w:val="22"/>
          <w:szCs w:val="22"/>
        </w:rPr>
      </w:pPr>
      <w:r>
        <w:rPr>
          <w:sz w:val="22"/>
          <w:szCs w:val="22"/>
        </w:rPr>
        <w:t>O</w:t>
      </w:r>
      <w:r w:rsidRPr="007B79CB">
        <w:rPr>
          <w:sz w:val="22"/>
          <w:szCs w:val="22"/>
        </w:rPr>
        <w:t>penMC stands as a</w:t>
      </w:r>
      <w:r>
        <w:rPr>
          <w:sz w:val="22"/>
          <w:szCs w:val="22"/>
        </w:rPr>
        <w:t>n</w:t>
      </w:r>
      <w:r w:rsidRPr="007B79CB">
        <w:rPr>
          <w:sz w:val="22"/>
          <w:szCs w:val="22"/>
        </w:rPr>
        <w:t xml:space="preserve"> </w:t>
      </w:r>
      <w:r>
        <w:rPr>
          <w:sz w:val="22"/>
          <w:szCs w:val="22"/>
        </w:rPr>
        <w:t>open source</w:t>
      </w:r>
      <w:r w:rsidRPr="007B79CB">
        <w:rPr>
          <w:sz w:val="22"/>
          <w:szCs w:val="22"/>
        </w:rPr>
        <w:t xml:space="preserve"> Monte Carlo neutron and photon transport simulation code. With OpenMC, researchers can conduct fixed source, k-eigenvalue, and subcritical multiplication calculations, utilizing constructive solid geometry-based models. The code originated in 2011 from the efforts of the Computational Reactor Physics Group at the Massachusetts Institute of Technology </w:t>
      </w:r>
      <w:r w:rsidRPr="000B2753">
        <w:rPr>
          <w:sz w:val="22"/>
          <w:szCs w:val="22"/>
        </w:rPr>
        <w:t>[</w:t>
      </w:r>
      <w:r w:rsidR="000B2753" w:rsidRPr="000B2753">
        <w:rPr>
          <w:sz w:val="22"/>
          <w:szCs w:val="22"/>
        </w:rPr>
        <w:t>11</w:t>
      </w:r>
      <w:r w:rsidRPr="000B2753">
        <w:rPr>
          <w:sz w:val="22"/>
          <w:szCs w:val="22"/>
        </w:rPr>
        <w:t>]. Since</w:t>
      </w:r>
      <w:r w:rsidRPr="007B79CB">
        <w:rPr>
          <w:sz w:val="22"/>
          <w:szCs w:val="22"/>
        </w:rPr>
        <w:t xml:space="preserve"> its inception, OpenMC has found extensive application in numerous studies, facilitating the analysis of neutron transport in various model configurations.</w:t>
      </w:r>
    </w:p>
    <w:p w14:paraId="37CB57E1" w14:textId="0FBD545B" w:rsidR="00C8746C" w:rsidRDefault="007B79CB" w:rsidP="000B2753">
      <w:pPr>
        <w:pStyle w:val="BodyTextIndent"/>
        <w:rPr>
          <w:sz w:val="22"/>
          <w:szCs w:val="22"/>
        </w:rPr>
      </w:pPr>
      <w:r w:rsidRPr="007B79CB">
        <w:rPr>
          <w:sz w:val="22"/>
          <w:szCs w:val="22"/>
        </w:rPr>
        <w:t xml:space="preserve">In contrast to the previous </w:t>
      </w:r>
      <w:r w:rsidRPr="000B2753">
        <w:rPr>
          <w:sz w:val="22"/>
          <w:szCs w:val="22"/>
        </w:rPr>
        <w:t>study</w:t>
      </w:r>
      <w:r w:rsidR="001F258E" w:rsidRPr="000B2753">
        <w:rPr>
          <w:sz w:val="22"/>
          <w:szCs w:val="22"/>
        </w:rPr>
        <w:t xml:space="preserve"> [</w:t>
      </w:r>
      <w:r w:rsidR="000B2753" w:rsidRPr="000B2753">
        <w:rPr>
          <w:sz w:val="22"/>
          <w:szCs w:val="22"/>
        </w:rPr>
        <w:t>7</w:t>
      </w:r>
      <w:r w:rsidR="001F258E" w:rsidRPr="000B2753">
        <w:rPr>
          <w:sz w:val="22"/>
          <w:szCs w:val="22"/>
        </w:rPr>
        <w:t>]</w:t>
      </w:r>
      <w:r w:rsidRPr="000B2753">
        <w:rPr>
          <w:sz w:val="22"/>
          <w:szCs w:val="22"/>
        </w:rPr>
        <w:t>, which</w:t>
      </w:r>
      <w:r w:rsidRPr="007B79CB">
        <w:rPr>
          <w:sz w:val="22"/>
          <w:szCs w:val="22"/>
        </w:rPr>
        <w:t xml:space="preserve"> focused on full core geometry, the present research </w:t>
      </w:r>
      <w:r w:rsidR="001F258E">
        <w:rPr>
          <w:sz w:val="22"/>
          <w:szCs w:val="22"/>
        </w:rPr>
        <w:t>concentrate</w:t>
      </w:r>
      <w:r w:rsidRPr="007B79CB">
        <w:rPr>
          <w:sz w:val="22"/>
          <w:szCs w:val="22"/>
        </w:rPr>
        <w:t xml:space="preserve"> on a</w:t>
      </w:r>
      <w:r w:rsidR="001F258E">
        <w:rPr>
          <w:sz w:val="22"/>
          <w:szCs w:val="22"/>
        </w:rPr>
        <w:t xml:space="preserve"> simplified</w:t>
      </w:r>
      <w:r w:rsidRPr="007B79CB">
        <w:rPr>
          <w:sz w:val="22"/>
          <w:szCs w:val="22"/>
        </w:rPr>
        <w:t xml:space="preserve"> 2D </w:t>
      </w:r>
      <w:r w:rsidR="001F258E">
        <w:rPr>
          <w:sz w:val="22"/>
          <w:szCs w:val="22"/>
        </w:rPr>
        <w:t>fuel element</w:t>
      </w:r>
      <w:r w:rsidRPr="007B79CB">
        <w:rPr>
          <w:sz w:val="22"/>
          <w:szCs w:val="22"/>
        </w:rPr>
        <w:t xml:space="preserve">. The investigation </w:t>
      </w:r>
      <w:r w:rsidR="007D4C41" w:rsidRPr="007B79CB">
        <w:rPr>
          <w:sz w:val="22"/>
          <w:szCs w:val="22"/>
        </w:rPr>
        <w:t>explores</w:t>
      </w:r>
      <w:r w:rsidRPr="007B79CB">
        <w:rPr>
          <w:sz w:val="22"/>
          <w:szCs w:val="22"/>
        </w:rPr>
        <w:t xml:space="preserve"> into the implications of simulating different fuel shapes within the </w:t>
      </w:r>
      <w:r w:rsidR="001F258E" w:rsidRPr="007B79CB">
        <w:rPr>
          <w:sz w:val="22"/>
          <w:szCs w:val="22"/>
        </w:rPr>
        <w:t>framework</w:t>
      </w:r>
      <w:r w:rsidRPr="007B79CB">
        <w:rPr>
          <w:sz w:val="22"/>
          <w:szCs w:val="22"/>
        </w:rPr>
        <w:t xml:space="preserve"> of a material testing reactor (MTR). Two OpenMC models were developed, one employing curved fuel elements to replicate the MTR's real shape, and the other employing flat fuel elements with the same fuel mass. The study specifically examines the effects of fuel element geometry on </w:t>
      </w:r>
      <w:r w:rsidR="000B2753" w:rsidRPr="007B79CB">
        <w:rPr>
          <w:sz w:val="22"/>
          <w:szCs w:val="22"/>
        </w:rPr>
        <w:t>neutronics</w:t>
      </w:r>
      <w:r w:rsidRPr="007B79CB">
        <w:rPr>
          <w:sz w:val="22"/>
          <w:szCs w:val="22"/>
        </w:rPr>
        <w:t xml:space="preserve"> behavior within the 2D bare reactor configuration. This approach allows for a more targeted exploration, isolating the critical aspects of interest and providing valuable insights into fuel shape's impact on reactor performance.</w:t>
      </w:r>
    </w:p>
    <w:p w14:paraId="32BBFEFC" w14:textId="5FBA60E7" w:rsidR="003F132F" w:rsidRDefault="003F132F" w:rsidP="000B2753">
      <w:pPr>
        <w:pStyle w:val="BodyTextIndent"/>
        <w:ind w:firstLine="0"/>
        <w:rPr>
          <w:sz w:val="22"/>
          <w:szCs w:val="22"/>
        </w:rPr>
      </w:pPr>
    </w:p>
    <w:p w14:paraId="0C247967" w14:textId="537C600A" w:rsidR="000B2753" w:rsidRDefault="000B2753" w:rsidP="000B2753">
      <w:pPr>
        <w:pStyle w:val="BodyTextIndent"/>
        <w:ind w:firstLine="0"/>
        <w:rPr>
          <w:sz w:val="22"/>
          <w:szCs w:val="22"/>
        </w:rPr>
      </w:pPr>
    </w:p>
    <w:p w14:paraId="657D4EE6" w14:textId="73FBC543" w:rsidR="000B2753" w:rsidRDefault="000B2753" w:rsidP="000B2753">
      <w:pPr>
        <w:pStyle w:val="BodyTextIndent"/>
        <w:ind w:firstLine="0"/>
        <w:rPr>
          <w:sz w:val="22"/>
          <w:szCs w:val="22"/>
        </w:rPr>
      </w:pPr>
    </w:p>
    <w:p w14:paraId="1CCBA13D" w14:textId="29BA697A" w:rsidR="000B2753" w:rsidRDefault="000B2753" w:rsidP="000B2753">
      <w:pPr>
        <w:pStyle w:val="BodyTextIndent"/>
        <w:ind w:firstLine="0"/>
        <w:rPr>
          <w:sz w:val="22"/>
          <w:szCs w:val="22"/>
        </w:rPr>
      </w:pPr>
    </w:p>
    <w:p w14:paraId="577EACCF" w14:textId="2828D10F" w:rsidR="00C8746C" w:rsidRDefault="00C8746C" w:rsidP="00C8746C">
      <w:pPr>
        <w:pStyle w:val="BodyTextIndent"/>
        <w:ind w:firstLine="0"/>
        <w:rPr>
          <w:b/>
          <w:sz w:val="22"/>
          <w:szCs w:val="22"/>
        </w:rPr>
      </w:pPr>
      <w:r w:rsidRPr="00C8746C">
        <w:rPr>
          <w:b/>
          <w:sz w:val="22"/>
          <w:szCs w:val="22"/>
        </w:rPr>
        <w:lastRenderedPageBreak/>
        <w:t>II</w:t>
      </w:r>
      <w:r>
        <w:rPr>
          <w:b/>
          <w:sz w:val="22"/>
          <w:szCs w:val="22"/>
        </w:rPr>
        <w:t xml:space="preserve">I. </w:t>
      </w:r>
      <w:r w:rsidR="003F132F">
        <w:rPr>
          <w:b/>
          <w:sz w:val="22"/>
          <w:szCs w:val="22"/>
        </w:rPr>
        <w:t>Methodology</w:t>
      </w:r>
    </w:p>
    <w:p w14:paraId="40E8F727" w14:textId="77AD8496" w:rsidR="003F132F" w:rsidRDefault="003F132F" w:rsidP="00C8746C">
      <w:pPr>
        <w:pStyle w:val="BodyTextIndent"/>
        <w:ind w:firstLine="0"/>
        <w:rPr>
          <w:b/>
          <w:sz w:val="22"/>
          <w:szCs w:val="22"/>
        </w:rPr>
      </w:pPr>
    </w:p>
    <w:p w14:paraId="5B75E962" w14:textId="0CF8C5E0" w:rsidR="003F132F" w:rsidRDefault="003F132F" w:rsidP="003F132F">
      <w:pPr>
        <w:pStyle w:val="BodyTextIndent"/>
        <w:ind w:firstLine="0"/>
        <w:rPr>
          <w:b/>
          <w:i/>
          <w:iCs/>
          <w:sz w:val="22"/>
          <w:szCs w:val="22"/>
        </w:rPr>
      </w:pPr>
      <w:r w:rsidRPr="003F132F">
        <w:rPr>
          <w:b/>
          <w:i/>
          <w:iCs/>
          <w:sz w:val="22"/>
          <w:szCs w:val="22"/>
        </w:rPr>
        <w:t>III.A. Simulation Setup</w:t>
      </w:r>
    </w:p>
    <w:p w14:paraId="3ECBD45A" w14:textId="77777777" w:rsidR="003F132F" w:rsidRDefault="003F132F" w:rsidP="003F132F">
      <w:pPr>
        <w:pStyle w:val="BodyTextIndent"/>
        <w:ind w:firstLine="0"/>
        <w:rPr>
          <w:bCs/>
          <w:sz w:val="22"/>
          <w:szCs w:val="22"/>
        </w:rPr>
      </w:pPr>
    </w:p>
    <w:p w14:paraId="04B27889" w14:textId="1193239C" w:rsidR="003F132F" w:rsidRDefault="003F132F" w:rsidP="003F132F">
      <w:pPr>
        <w:pStyle w:val="BodyTextIndent"/>
        <w:rPr>
          <w:sz w:val="22"/>
          <w:szCs w:val="22"/>
        </w:rPr>
      </w:pPr>
      <w:r w:rsidRPr="003F132F">
        <w:rPr>
          <w:sz w:val="22"/>
          <w:szCs w:val="22"/>
        </w:rPr>
        <w:t>In OpenMC, the simulation setup involves employing a constructive solid geometry representation to model complex geometric objects. This approach represents closed volumes, or cells, as intersections of multiple half-spaces, where each half-space is defined by a plane or quadratic surface, distinguishing the positive or negative side. Notably, this technique allows for precise modeling of curved surfaces, such as spheres and cylinders, without any tolerance due to mesh discretization, thereby enhancing simulation accuracy.</w:t>
      </w:r>
    </w:p>
    <w:p w14:paraId="54C9CBE5" w14:textId="50CD9287" w:rsidR="000C71BD" w:rsidRDefault="000C71BD" w:rsidP="000B2753">
      <w:pPr>
        <w:pStyle w:val="BodyTextIndent"/>
        <w:rPr>
          <w:sz w:val="22"/>
          <w:szCs w:val="22"/>
        </w:rPr>
      </w:pPr>
      <w:r w:rsidRPr="000C71BD">
        <w:rPr>
          <w:sz w:val="22"/>
          <w:szCs w:val="22"/>
        </w:rPr>
        <w:t xml:space="preserve">In this study, the OpenMC model was executed with identical conditions to </w:t>
      </w:r>
      <w:r>
        <w:rPr>
          <w:sz w:val="22"/>
          <w:szCs w:val="22"/>
        </w:rPr>
        <w:t>the</w:t>
      </w:r>
      <w:r w:rsidRPr="000C71BD">
        <w:rPr>
          <w:sz w:val="22"/>
          <w:szCs w:val="22"/>
        </w:rPr>
        <w:t xml:space="preserve"> previous study [</w:t>
      </w:r>
      <w:r w:rsidR="000B2753">
        <w:rPr>
          <w:sz w:val="22"/>
          <w:szCs w:val="22"/>
        </w:rPr>
        <w:t>7</w:t>
      </w:r>
      <w:r w:rsidRPr="000C71BD">
        <w:rPr>
          <w:sz w:val="22"/>
          <w:szCs w:val="22"/>
        </w:rPr>
        <w:t>], where the same nuclear data library of ENDF/B-VII.1 was employed. The cross-section libraries for the OpenMC simulations were defined at a temperature of 293.6 K. Additionally, the fuel was considered fresh, and the initial neutron source assumed a uniform distribution throughout the fissile material for all models. These consistent simulation settings allowed for a direct comparison of the fuel element models while controlling for relevant parameters.</w:t>
      </w:r>
    </w:p>
    <w:p w14:paraId="4BC5DE9B" w14:textId="089AA7A4" w:rsidR="000B3F5A" w:rsidRDefault="000B3F5A" w:rsidP="000C71BD">
      <w:pPr>
        <w:pStyle w:val="BodyTextIndent"/>
        <w:rPr>
          <w:sz w:val="22"/>
          <w:szCs w:val="22"/>
        </w:rPr>
      </w:pPr>
    </w:p>
    <w:p w14:paraId="301E0503" w14:textId="25110F43" w:rsidR="000B3F5A" w:rsidRDefault="000B3F5A" w:rsidP="000B3F5A">
      <w:pPr>
        <w:pStyle w:val="BodyTextIndent"/>
        <w:ind w:firstLine="0"/>
        <w:rPr>
          <w:b/>
          <w:i/>
          <w:iCs/>
          <w:sz w:val="22"/>
          <w:szCs w:val="22"/>
        </w:rPr>
      </w:pPr>
      <w:r w:rsidRPr="003F132F">
        <w:rPr>
          <w:b/>
          <w:i/>
          <w:iCs/>
          <w:sz w:val="22"/>
          <w:szCs w:val="22"/>
        </w:rPr>
        <w:t>III.</w:t>
      </w:r>
      <w:r>
        <w:rPr>
          <w:b/>
          <w:i/>
          <w:iCs/>
          <w:sz w:val="22"/>
          <w:szCs w:val="22"/>
        </w:rPr>
        <w:t>B</w:t>
      </w:r>
      <w:r w:rsidRPr="003F132F">
        <w:rPr>
          <w:b/>
          <w:i/>
          <w:iCs/>
          <w:sz w:val="22"/>
          <w:szCs w:val="22"/>
        </w:rPr>
        <w:t xml:space="preserve">. </w:t>
      </w:r>
      <w:r>
        <w:rPr>
          <w:b/>
          <w:i/>
          <w:iCs/>
          <w:sz w:val="22"/>
          <w:szCs w:val="22"/>
        </w:rPr>
        <w:t>Fuel Element Models</w:t>
      </w:r>
    </w:p>
    <w:p w14:paraId="00DC9667" w14:textId="77777777" w:rsidR="000B3F5A" w:rsidRPr="000B3F5A" w:rsidRDefault="000B3F5A" w:rsidP="000B3F5A">
      <w:pPr>
        <w:pStyle w:val="BodyTextIndent"/>
        <w:ind w:firstLine="0"/>
        <w:rPr>
          <w:b/>
          <w:i/>
          <w:iCs/>
          <w:sz w:val="22"/>
          <w:szCs w:val="22"/>
        </w:rPr>
      </w:pPr>
    </w:p>
    <w:p w14:paraId="4947FBFD" w14:textId="04B58642" w:rsidR="000C71BD" w:rsidRDefault="00A21F18" w:rsidP="000B2753">
      <w:pPr>
        <w:pStyle w:val="BodyTextIndent"/>
        <w:rPr>
          <w:sz w:val="22"/>
          <w:szCs w:val="22"/>
        </w:rPr>
      </w:pPr>
      <w:r w:rsidRPr="00A21F18">
        <w:rPr>
          <w:sz w:val="22"/>
          <w:szCs w:val="22"/>
        </w:rPr>
        <w:t>For the flat fuel element, all conditions and parameters were maintained the same as curved. However, transforming the curved fuel plate shape into a flat plate necessitated adjustments in the fuel dimensions to maintain a fixed fuel volume. Additionally, the dimensions of the flat fuel plate were determined based on its cross-sectional area, with the width determined while retaining the thickness unchanged. Equation (</w:t>
      </w:r>
      <w:r w:rsidR="000B2753">
        <w:rPr>
          <w:sz w:val="22"/>
          <w:szCs w:val="22"/>
        </w:rPr>
        <w:t>1</w:t>
      </w:r>
      <w:r w:rsidRPr="00A21F18">
        <w:rPr>
          <w:sz w:val="22"/>
          <w:szCs w:val="22"/>
        </w:rPr>
        <w:t>) was employed to determine the required modifications as follows:</w:t>
      </w:r>
    </w:p>
    <w:p w14:paraId="4332F7EE" w14:textId="72C3DDE8" w:rsidR="00A21F18" w:rsidRPr="000B2753" w:rsidRDefault="00057C1D" w:rsidP="00A21F18">
      <w:pPr>
        <w:pStyle w:val="BodyTextIndent"/>
        <w:rPr>
          <w:sz w:val="22"/>
          <w:szCs w:val="22"/>
        </w:rPr>
      </w:pPr>
      <m:oMath>
        <m:sSub>
          <m:sSubPr>
            <m:ctrlPr>
              <w:rPr>
                <w:rFonts w:ascii="Cambria Math" w:hAnsi="Cambria Math"/>
                <w:i/>
                <w:iCs/>
                <w:sz w:val="22"/>
                <w:szCs w:val="22"/>
              </w:rPr>
            </m:ctrlPr>
          </m:sSubPr>
          <m:e>
            <m:r>
              <w:rPr>
                <w:rFonts w:ascii="Cambria Math" w:hAnsi="Cambria Math"/>
                <w:sz w:val="22"/>
                <w:szCs w:val="22"/>
              </w:rPr>
              <m:t>Area</m:t>
            </m:r>
          </m:e>
          <m:sub>
            <m:r>
              <w:rPr>
                <w:rFonts w:ascii="Cambria Math" w:hAnsi="Cambria Math"/>
                <w:sz w:val="22"/>
                <w:szCs w:val="22"/>
              </w:rPr>
              <m:t>curved</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Area</m:t>
            </m:r>
          </m:e>
          <m:sub>
            <m:r>
              <w:rPr>
                <w:rFonts w:ascii="Cambria Math" w:hAnsi="Cambria Math"/>
                <w:sz w:val="22"/>
                <w:szCs w:val="22"/>
              </w:rPr>
              <m:t>flat</m:t>
            </m:r>
          </m:sub>
        </m:sSub>
      </m:oMath>
      <w:r w:rsidR="00A21F18" w:rsidRPr="00BB7497">
        <w:rPr>
          <w:sz w:val="22"/>
          <w:szCs w:val="22"/>
        </w:rPr>
        <w:tab/>
        <w:t xml:space="preserve"> </w:t>
      </w:r>
      <w:r w:rsidR="00A21F18" w:rsidRPr="000B2753">
        <w:rPr>
          <w:sz w:val="22"/>
          <w:szCs w:val="22"/>
        </w:rPr>
        <w:t>(1)</w:t>
      </w:r>
    </w:p>
    <w:p w14:paraId="76288EBC" w14:textId="69242E40" w:rsidR="003F132F" w:rsidRPr="000B2753" w:rsidRDefault="00A21F18" w:rsidP="003F132F">
      <w:pPr>
        <w:pStyle w:val="BodyTextIndent"/>
        <w:rPr>
          <w:sz w:val="22"/>
          <w:szCs w:val="22"/>
        </w:rPr>
      </w:pPr>
      <w:r w:rsidRPr="000B2753">
        <w:rPr>
          <w:sz w:val="22"/>
          <w:szCs w:val="22"/>
        </w:rPr>
        <w:t xml:space="preserve">where </w:t>
      </w:r>
      <m:oMath>
        <m:sSub>
          <m:sSubPr>
            <m:ctrlPr>
              <w:rPr>
                <w:rFonts w:ascii="Cambria Math" w:hAnsi="Cambria Math"/>
                <w:sz w:val="22"/>
                <w:szCs w:val="22"/>
              </w:rPr>
            </m:ctrlPr>
          </m:sSubPr>
          <m:e>
            <m:r>
              <w:rPr>
                <w:rFonts w:ascii="Cambria Math" w:hAnsi="Cambria Math"/>
                <w:sz w:val="22"/>
                <w:szCs w:val="22"/>
              </w:rPr>
              <m:t>Area</m:t>
            </m:r>
          </m:e>
          <m:sub>
            <m:r>
              <w:rPr>
                <w:rFonts w:ascii="Cambria Math" w:hAnsi="Cambria Math"/>
                <w:sz w:val="22"/>
                <w:szCs w:val="22"/>
              </w:rPr>
              <m:t>curved</m:t>
            </m:r>
          </m:sub>
        </m:sSub>
      </m:oMath>
      <w:r w:rsidRPr="000B2753">
        <w:rPr>
          <w:sz w:val="22"/>
          <w:szCs w:val="22"/>
        </w:rPr>
        <w:t xml:space="preserve"> is the area of the curved plates while </w:t>
      </w:r>
      <m:oMath>
        <m:sSub>
          <m:sSubPr>
            <m:ctrlPr>
              <w:rPr>
                <w:rFonts w:ascii="Cambria Math" w:hAnsi="Cambria Math"/>
                <w:sz w:val="22"/>
                <w:szCs w:val="22"/>
              </w:rPr>
            </m:ctrlPr>
          </m:sSubPr>
          <m:e>
            <m:r>
              <w:rPr>
                <w:rFonts w:ascii="Cambria Math" w:hAnsi="Cambria Math"/>
                <w:sz w:val="22"/>
                <w:szCs w:val="22"/>
              </w:rPr>
              <m:t>Area</m:t>
            </m:r>
          </m:e>
          <m:sub>
            <m:r>
              <w:rPr>
                <w:rFonts w:ascii="Cambria Math" w:hAnsi="Cambria Math"/>
                <w:sz w:val="22"/>
                <w:szCs w:val="22"/>
              </w:rPr>
              <m:t>flat</m:t>
            </m:r>
          </m:sub>
        </m:sSub>
      </m:oMath>
      <w:r w:rsidRPr="000B2753">
        <w:rPr>
          <w:sz w:val="22"/>
          <w:szCs w:val="22"/>
        </w:rPr>
        <w:t xml:space="preserve"> is the area of the flat plates.</w:t>
      </w:r>
    </w:p>
    <w:p w14:paraId="4D93E612" w14:textId="7DC6BE16" w:rsidR="00A21F18" w:rsidRPr="000B2753" w:rsidRDefault="00A21F18" w:rsidP="000B2753">
      <w:pPr>
        <w:pStyle w:val="BodyTextIndent"/>
        <w:rPr>
          <w:sz w:val="22"/>
          <w:szCs w:val="22"/>
        </w:rPr>
      </w:pPr>
      <m:oMath>
        <m:r>
          <w:rPr>
            <w:rFonts w:ascii="Cambria Math" w:hAnsi="Cambria Math"/>
            <w:sz w:val="22"/>
            <w:szCs w:val="22"/>
          </w:rPr>
          <m:t>θ×</m:t>
        </m:r>
        <m:d>
          <m:dPr>
            <m:ctrlPr>
              <w:rPr>
                <w:rFonts w:ascii="Cambria Math" w:hAnsi="Cambria Math"/>
                <w:i/>
                <w:iCs/>
                <w:sz w:val="22"/>
                <w:szCs w:val="22"/>
              </w:rPr>
            </m:ctrlPr>
          </m:dPr>
          <m:e>
            <m:sSubSup>
              <m:sSubSupPr>
                <m:ctrlPr>
                  <w:rPr>
                    <w:rFonts w:ascii="Cambria Math" w:hAnsi="Cambria Math"/>
                    <w:i/>
                    <w:iCs/>
                    <w:sz w:val="22"/>
                    <w:szCs w:val="22"/>
                  </w:rPr>
                </m:ctrlPr>
              </m:sSubSupPr>
              <m:e>
                <m:r>
                  <w:rPr>
                    <w:rFonts w:ascii="Cambria Math" w:hAnsi="Cambria Math"/>
                    <w:sz w:val="22"/>
                    <w:szCs w:val="22"/>
                  </w:rPr>
                  <m:t>r</m:t>
                </m:r>
              </m:e>
              <m:sub>
                <m:r>
                  <w:rPr>
                    <w:rFonts w:ascii="Cambria Math" w:hAnsi="Cambria Math"/>
                    <w:sz w:val="22"/>
                    <w:szCs w:val="22"/>
                  </w:rPr>
                  <m:t>out</m:t>
                </m:r>
              </m:sub>
              <m:sup>
                <m:r>
                  <w:rPr>
                    <w:rFonts w:ascii="Cambria Math" w:hAnsi="Cambria Math"/>
                    <w:sz w:val="22"/>
                    <w:szCs w:val="22"/>
                  </w:rPr>
                  <m:t>2</m:t>
                </m:r>
              </m:sup>
            </m:sSubSup>
            <m:r>
              <w:rPr>
                <w:rFonts w:ascii="Cambria Math" w:hAnsi="Cambria Math"/>
                <w:sz w:val="22"/>
                <w:szCs w:val="22"/>
              </w:rPr>
              <m:t>-</m:t>
            </m:r>
            <m:sSubSup>
              <m:sSubSupPr>
                <m:ctrlPr>
                  <w:rPr>
                    <w:rFonts w:ascii="Cambria Math" w:hAnsi="Cambria Math"/>
                    <w:i/>
                    <w:iCs/>
                    <w:sz w:val="22"/>
                    <w:szCs w:val="22"/>
                  </w:rPr>
                </m:ctrlPr>
              </m:sSubSupPr>
              <m:e>
                <m:r>
                  <w:rPr>
                    <w:rFonts w:ascii="Cambria Math" w:hAnsi="Cambria Math"/>
                    <w:sz w:val="22"/>
                    <w:szCs w:val="22"/>
                  </w:rPr>
                  <m:t>r</m:t>
                </m:r>
              </m:e>
              <m:sub>
                <m:r>
                  <w:rPr>
                    <w:rFonts w:ascii="Cambria Math" w:hAnsi="Cambria Math"/>
                    <w:sz w:val="22"/>
                    <w:szCs w:val="22"/>
                  </w:rPr>
                  <m:t>in</m:t>
                </m:r>
              </m:sub>
              <m:sup>
                <m:r>
                  <w:rPr>
                    <w:rFonts w:ascii="Cambria Math" w:hAnsi="Cambria Math"/>
                    <w:sz w:val="22"/>
                    <w:szCs w:val="22"/>
                  </w:rPr>
                  <m:t>2</m:t>
                </m:r>
              </m:sup>
            </m:sSubSup>
          </m:e>
        </m:d>
        <m: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regtangular length</m:t>
            </m:r>
          </m:e>
        </m:d>
        <m: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thickness</m:t>
            </m:r>
          </m:e>
        </m:d>
      </m:oMath>
      <w:r w:rsidRPr="000B2753">
        <w:rPr>
          <w:sz w:val="22"/>
          <w:szCs w:val="22"/>
        </w:rPr>
        <w:tab/>
        <w:t xml:space="preserve"> (</w:t>
      </w:r>
      <w:r w:rsidR="000B2753" w:rsidRPr="000B2753">
        <w:rPr>
          <w:sz w:val="22"/>
          <w:szCs w:val="22"/>
        </w:rPr>
        <w:t>2</w:t>
      </w:r>
      <w:r w:rsidRPr="000B2753">
        <w:rPr>
          <w:sz w:val="22"/>
          <w:szCs w:val="22"/>
        </w:rPr>
        <w:t>)</w:t>
      </w:r>
    </w:p>
    <w:p w14:paraId="2C0F328E" w14:textId="6C1DF15D" w:rsidR="00A21F18" w:rsidRPr="000B2753" w:rsidRDefault="00A21F18" w:rsidP="003F132F">
      <w:pPr>
        <w:pStyle w:val="BodyTextIndent"/>
        <w:rPr>
          <w:sz w:val="22"/>
          <w:szCs w:val="22"/>
        </w:rPr>
      </w:pPr>
      <w:r w:rsidRPr="000B2753">
        <w:rPr>
          <w:sz w:val="22"/>
          <w:szCs w:val="22"/>
        </w:rPr>
        <w:t xml:space="preserve">where </w:t>
      </w:r>
      <m:oMath>
        <m:r>
          <w:rPr>
            <w:rFonts w:ascii="Cambria Math" w:hAnsi="Cambria Math"/>
            <w:sz w:val="22"/>
            <w:szCs w:val="22"/>
          </w:rPr>
          <m:t>θ</m:t>
        </m:r>
      </m:oMath>
      <w:r w:rsidRPr="000B2753" w:rsidDel="00B51FC4">
        <w:rPr>
          <w:sz w:val="22"/>
          <w:szCs w:val="22"/>
        </w:rPr>
        <w:t xml:space="preserve"> </w:t>
      </w:r>
      <w:r w:rsidRPr="000B2753">
        <w:rPr>
          <w:sz w:val="22"/>
          <w:szCs w:val="22"/>
        </w:rPr>
        <w:t xml:space="preserve">stands for the angle of curvature (degree) that is used to calculate the area of the arc. The parameters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out</m:t>
            </m:r>
          </m:sub>
        </m:sSub>
      </m:oMath>
      <w:r w:rsidRPr="000B2753">
        <w:rPr>
          <w:sz w:val="22"/>
          <w:szCs w:val="22"/>
        </w:rPr>
        <w:t xml:space="preserve"> and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in</m:t>
            </m:r>
          </m:sub>
        </m:sSub>
      </m:oMath>
      <w:r w:rsidRPr="000B2753">
        <w:rPr>
          <w:sz w:val="22"/>
          <w:szCs w:val="22"/>
        </w:rPr>
        <w:t xml:space="preserve"> are the outer and inner radii of the curve, respectively.</w:t>
      </w:r>
    </w:p>
    <w:p w14:paraId="53C15BCB" w14:textId="1529817D" w:rsidR="00A21F18" w:rsidRDefault="00A21F18" w:rsidP="000B2753">
      <w:pPr>
        <w:pStyle w:val="BodyTextIndent"/>
        <w:rPr>
          <w:sz w:val="22"/>
          <w:szCs w:val="22"/>
        </w:rPr>
      </w:pPr>
      <m:oMath>
        <m:r>
          <m:rPr>
            <m:sty m:val="p"/>
          </m:rPr>
          <w:rPr>
            <w:rFonts w:ascii="Cambria Math" w:hAnsi="Cambria Math"/>
          </w:rPr>
          <m:t>⇒</m:t>
        </m:r>
        <m:r>
          <w:rPr>
            <w:rFonts w:ascii="Cambria Math" w:hAnsi="Cambria Math"/>
          </w:rPr>
          <m:t>thickness</m:t>
        </m:r>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out</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in</m:t>
            </m:r>
          </m:sub>
        </m:sSub>
      </m:oMath>
      <w:r w:rsidRPr="000B2753">
        <w:rPr>
          <w:sz w:val="22"/>
          <w:szCs w:val="22"/>
        </w:rPr>
        <w:tab/>
        <w:t xml:space="preserve"> (</w:t>
      </w:r>
      <w:r w:rsidR="000B2753" w:rsidRPr="000B2753">
        <w:rPr>
          <w:sz w:val="22"/>
          <w:szCs w:val="22"/>
        </w:rPr>
        <w:t>3</w:t>
      </w:r>
      <w:r w:rsidRPr="000B2753">
        <w:rPr>
          <w:sz w:val="22"/>
          <w:szCs w:val="22"/>
        </w:rPr>
        <w:t>)</w:t>
      </w:r>
    </w:p>
    <w:p w14:paraId="525B55BA" w14:textId="0B789783" w:rsidR="000B3F5A" w:rsidRDefault="000B3F5A" w:rsidP="000B2753">
      <w:pPr>
        <w:pStyle w:val="BodyTextIndent"/>
        <w:rPr>
          <w:sz w:val="22"/>
          <w:szCs w:val="22"/>
        </w:rPr>
      </w:pPr>
      <w:r w:rsidRPr="000B3F5A">
        <w:rPr>
          <w:sz w:val="22"/>
          <w:szCs w:val="22"/>
        </w:rPr>
        <w:t xml:space="preserve">Consequently, the thickness of the flat fuel plate was redefined to maintain a fixed </w:t>
      </w:r>
      <w:r>
        <w:rPr>
          <w:sz w:val="22"/>
          <w:szCs w:val="22"/>
        </w:rPr>
        <w:t>cross-section area</w:t>
      </w:r>
      <w:r w:rsidRPr="000B3F5A">
        <w:rPr>
          <w:sz w:val="22"/>
          <w:szCs w:val="22"/>
        </w:rPr>
        <w:t xml:space="preserve"> in both simulations. </w:t>
      </w:r>
      <w:r w:rsidR="000B2753">
        <w:rPr>
          <w:sz w:val="22"/>
          <w:szCs w:val="22"/>
        </w:rPr>
        <w:t xml:space="preserve">Fig. 1 and Fig. 2 presents the XY </w:t>
      </w:r>
      <w:r w:rsidRPr="000B3F5A">
        <w:rPr>
          <w:sz w:val="22"/>
          <w:szCs w:val="22"/>
        </w:rPr>
        <w:t>view displaying the simulated curved and flat fuel plates for visual comparison.</w:t>
      </w:r>
    </w:p>
    <w:p w14:paraId="0313B31A" w14:textId="2FC23FF5" w:rsidR="000B3F5A" w:rsidRDefault="000B3F5A" w:rsidP="004C4D75">
      <w:pPr>
        <w:pStyle w:val="BodyTextIndent"/>
        <w:ind w:firstLine="0"/>
        <w:rPr>
          <w:sz w:val="22"/>
          <w:szCs w:val="22"/>
        </w:rPr>
      </w:pPr>
      <w:r>
        <w:rPr>
          <w:noProof/>
        </w:rPr>
        <w:drawing>
          <wp:inline distT="0" distB="0" distL="0" distR="0" wp14:anchorId="316AFCDA" wp14:editId="355CDDE7">
            <wp:extent cx="3028950" cy="188785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1887855"/>
                    </a:xfrm>
                    <a:prstGeom prst="rect">
                      <a:avLst/>
                    </a:prstGeom>
                  </pic:spPr>
                </pic:pic>
              </a:graphicData>
            </a:graphic>
          </wp:inline>
        </w:drawing>
      </w:r>
    </w:p>
    <w:p w14:paraId="4A1C55CC" w14:textId="286BB37A" w:rsidR="000B3F5A" w:rsidRDefault="000B3F5A" w:rsidP="000B3F5A">
      <w:pPr>
        <w:pStyle w:val="BodyTextIndent"/>
        <w:rPr>
          <w:i/>
          <w:iCs/>
        </w:rPr>
      </w:pPr>
      <w:r w:rsidRPr="00BB7497">
        <w:rPr>
          <w:i/>
          <w:iCs/>
        </w:rPr>
        <w:t xml:space="preserve">Fig. 1. </w:t>
      </w:r>
      <w:r w:rsidRPr="000B3F5A">
        <w:rPr>
          <w:i/>
          <w:iCs/>
        </w:rPr>
        <w:t>Curved</w:t>
      </w:r>
      <w:r>
        <w:rPr>
          <w:i/>
          <w:iCs/>
        </w:rPr>
        <w:t xml:space="preserve"> bare fuel plate</w:t>
      </w:r>
    </w:p>
    <w:p w14:paraId="2814F639" w14:textId="4A46B387" w:rsidR="000B3F5A" w:rsidRDefault="000B3F5A" w:rsidP="004C4D75">
      <w:pPr>
        <w:pStyle w:val="BodyTextIndent"/>
        <w:ind w:firstLine="0"/>
        <w:rPr>
          <w:sz w:val="22"/>
          <w:szCs w:val="22"/>
        </w:rPr>
      </w:pPr>
      <w:r>
        <w:rPr>
          <w:noProof/>
        </w:rPr>
        <w:drawing>
          <wp:inline distT="0" distB="0" distL="0" distR="0" wp14:anchorId="15622D1E" wp14:editId="5C455F86">
            <wp:extent cx="3028950" cy="1887855"/>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950" cy="1887855"/>
                    </a:xfrm>
                    <a:prstGeom prst="rect">
                      <a:avLst/>
                    </a:prstGeom>
                  </pic:spPr>
                </pic:pic>
              </a:graphicData>
            </a:graphic>
          </wp:inline>
        </w:drawing>
      </w:r>
    </w:p>
    <w:p w14:paraId="52E3BC0F" w14:textId="2C592CD8" w:rsidR="000B3F5A" w:rsidRDefault="000B3F5A" w:rsidP="00EF79D7">
      <w:pPr>
        <w:pStyle w:val="BodyTextIndent"/>
        <w:rPr>
          <w:i/>
          <w:iCs/>
        </w:rPr>
      </w:pPr>
      <w:r w:rsidRPr="00BB7497">
        <w:rPr>
          <w:i/>
          <w:iCs/>
        </w:rPr>
        <w:t xml:space="preserve">Fig. </w:t>
      </w:r>
      <w:r w:rsidR="00EF79D7">
        <w:rPr>
          <w:i/>
          <w:iCs/>
        </w:rPr>
        <w:t>2</w:t>
      </w:r>
      <w:r w:rsidRPr="00BB7497">
        <w:rPr>
          <w:i/>
          <w:iCs/>
        </w:rPr>
        <w:t xml:space="preserve">. </w:t>
      </w:r>
      <w:r>
        <w:rPr>
          <w:i/>
          <w:iCs/>
        </w:rPr>
        <w:t>flat bare fuel plate</w:t>
      </w:r>
    </w:p>
    <w:p w14:paraId="741A3368" w14:textId="77777777" w:rsidR="000B2753" w:rsidRDefault="000B2753" w:rsidP="000B2753">
      <w:pPr>
        <w:pStyle w:val="BodyTextIndent"/>
        <w:ind w:firstLine="0"/>
        <w:rPr>
          <w:i/>
          <w:iCs/>
        </w:rPr>
      </w:pPr>
    </w:p>
    <w:p w14:paraId="679F23EF" w14:textId="4E1E350A" w:rsidR="00A96F1A" w:rsidRDefault="00A96F1A" w:rsidP="00A96F1A">
      <w:pPr>
        <w:pStyle w:val="BodyTextIndent"/>
        <w:ind w:firstLine="0"/>
        <w:rPr>
          <w:b/>
          <w:i/>
          <w:iCs/>
          <w:sz w:val="22"/>
          <w:szCs w:val="22"/>
        </w:rPr>
      </w:pPr>
      <w:r w:rsidRPr="003F132F">
        <w:rPr>
          <w:b/>
          <w:i/>
          <w:iCs/>
          <w:sz w:val="22"/>
          <w:szCs w:val="22"/>
        </w:rPr>
        <w:t>III.</w:t>
      </w:r>
      <w:r>
        <w:rPr>
          <w:b/>
          <w:i/>
          <w:iCs/>
          <w:sz w:val="22"/>
          <w:szCs w:val="22"/>
        </w:rPr>
        <w:t>C</w:t>
      </w:r>
      <w:r w:rsidRPr="003F132F">
        <w:rPr>
          <w:b/>
          <w:i/>
          <w:iCs/>
          <w:sz w:val="22"/>
          <w:szCs w:val="22"/>
        </w:rPr>
        <w:t xml:space="preserve">. </w:t>
      </w:r>
      <w:r>
        <w:rPr>
          <w:b/>
          <w:i/>
          <w:iCs/>
          <w:sz w:val="22"/>
          <w:szCs w:val="22"/>
        </w:rPr>
        <w:t>Comparison Parameters</w:t>
      </w:r>
    </w:p>
    <w:p w14:paraId="1FB7EA2B" w14:textId="39534C22" w:rsidR="00A21F18" w:rsidRDefault="00A21F18" w:rsidP="003F132F">
      <w:pPr>
        <w:pStyle w:val="BodyTextIndent"/>
        <w:rPr>
          <w:bCs/>
          <w:sz w:val="22"/>
          <w:szCs w:val="22"/>
        </w:rPr>
      </w:pPr>
    </w:p>
    <w:p w14:paraId="3232DD1F" w14:textId="281A1204" w:rsidR="009E1A57" w:rsidRDefault="00CE2B50">
      <w:pPr>
        <w:pStyle w:val="BodyTextIndent"/>
        <w:rPr>
          <w:bCs/>
          <w:sz w:val="22"/>
          <w:szCs w:val="22"/>
        </w:rPr>
      </w:pPr>
      <w:r w:rsidRPr="00CE2B50">
        <w:rPr>
          <w:bCs/>
          <w:sz w:val="22"/>
          <w:szCs w:val="22"/>
        </w:rPr>
        <w:t>For this study, several key parameters were identified for comparing the two fuel element models: the curved and flat configurations. The primary parameter of interest was the k-</w:t>
      </w:r>
      <w:r w:rsidR="007D4C41">
        <w:rPr>
          <w:bCs/>
          <w:sz w:val="22"/>
          <w:szCs w:val="22"/>
        </w:rPr>
        <w:t>inf</w:t>
      </w:r>
      <w:r w:rsidRPr="00CE2B50">
        <w:rPr>
          <w:bCs/>
          <w:sz w:val="22"/>
          <w:szCs w:val="22"/>
        </w:rPr>
        <w:t xml:space="preserve">, representing the multiplication factor that characterizes the reactor's criticality. Additionally, the 2D fission and </w:t>
      </w:r>
      <w:r w:rsidR="000B2753">
        <w:rPr>
          <w:bCs/>
          <w:sz w:val="22"/>
          <w:szCs w:val="22"/>
        </w:rPr>
        <w:t xml:space="preserve">XY </w:t>
      </w:r>
      <w:r w:rsidRPr="00CE2B50">
        <w:rPr>
          <w:bCs/>
          <w:sz w:val="22"/>
          <w:szCs w:val="22"/>
        </w:rPr>
        <w:t>flux distribution were examined, as these aspects are significantly affected by the fuel element shape.</w:t>
      </w:r>
    </w:p>
    <w:p w14:paraId="742D4704" w14:textId="129FC2A1" w:rsidR="009E1A57" w:rsidRDefault="009E1A57" w:rsidP="00A96F1A">
      <w:pPr>
        <w:pStyle w:val="BodyTextIndent"/>
        <w:rPr>
          <w:bCs/>
          <w:sz w:val="22"/>
          <w:szCs w:val="22"/>
        </w:rPr>
      </w:pPr>
    </w:p>
    <w:p w14:paraId="3FE99EC1" w14:textId="20659421" w:rsidR="009E1A57" w:rsidRDefault="009E1A57" w:rsidP="00CE2B50">
      <w:pPr>
        <w:pStyle w:val="BodyTextIndent"/>
        <w:ind w:firstLine="0"/>
        <w:rPr>
          <w:b/>
          <w:i/>
          <w:iCs/>
          <w:sz w:val="22"/>
          <w:szCs w:val="22"/>
        </w:rPr>
      </w:pPr>
      <w:r w:rsidRPr="003F132F">
        <w:rPr>
          <w:b/>
          <w:i/>
          <w:iCs/>
          <w:sz w:val="22"/>
          <w:szCs w:val="22"/>
        </w:rPr>
        <w:t>III.</w:t>
      </w:r>
      <w:r w:rsidR="00CE2B50">
        <w:rPr>
          <w:b/>
          <w:i/>
          <w:iCs/>
          <w:sz w:val="22"/>
          <w:szCs w:val="22"/>
        </w:rPr>
        <w:t>D</w:t>
      </w:r>
      <w:r w:rsidRPr="003F132F">
        <w:rPr>
          <w:b/>
          <w:i/>
          <w:iCs/>
          <w:sz w:val="22"/>
          <w:szCs w:val="22"/>
        </w:rPr>
        <w:t xml:space="preserve">. </w:t>
      </w:r>
      <w:r w:rsidRPr="009E1A57">
        <w:rPr>
          <w:b/>
          <w:i/>
          <w:iCs/>
          <w:sz w:val="22"/>
          <w:szCs w:val="22"/>
        </w:rPr>
        <w:t>Simulation Procedure</w:t>
      </w:r>
    </w:p>
    <w:p w14:paraId="15FA5709" w14:textId="3153F2F4" w:rsidR="009E1A57" w:rsidRDefault="009E1A57" w:rsidP="00A96F1A">
      <w:pPr>
        <w:pStyle w:val="BodyTextIndent"/>
        <w:rPr>
          <w:bCs/>
          <w:sz w:val="22"/>
          <w:szCs w:val="22"/>
        </w:rPr>
      </w:pPr>
    </w:p>
    <w:p w14:paraId="7C9C48CA" w14:textId="1BD41723" w:rsidR="002E712E" w:rsidRDefault="002E712E" w:rsidP="000B2753">
      <w:pPr>
        <w:pStyle w:val="BodyTextIndent"/>
        <w:rPr>
          <w:bCs/>
          <w:sz w:val="22"/>
          <w:szCs w:val="22"/>
        </w:rPr>
      </w:pPr>
      <w:r w:rsidRPr="002E712E">
        <w:rPr>
          <w:bCs/>
          <w:sz w:val="22"/>
          <w:szCs w:val="22"/>
        </w:rPr>
        <w:t xml:space="preserve">both curved and flat fuel element configurations were systematically modeled within a 2D bare </w:t>
      </w:r>
      <w:r w:rsidR="000B2753">
        <w:rPr>
          <w:bCs/>
          <w:sz w:val="22"/>
          <w:szCs w:val="22"/>
        </w:rPr>
        <w:t>fuel element</w:t>
      </w:r>
      <w:r w:rsidRPr="002E712E">
        <w:rPr>
          <w:bCs/>
          <w:sz w:val="22"/>
          <w:szCs w:val="22"/>
        </w:rPr>
        <w:t>. Maintaining consistency and considering essential factors, this approach facilitated a focused comparison of neutron behavior.</w:t>
      </w:r>
      <w:r>
        <w:rPr>
          <w:bCs/>
          <w:sz w:val="22"/>
          <w:szCs w:val="22"/>
        </w:rPr>
        <w:t xml:space="preserve"> The procedure as follows:</w:t>
      </w:r>
    </w:p>
    <w:p w14:paraId="358CD7BD" w14:textId="585D5FCA" w:rsidR="002E712E" w:rsidRDefault="002E712E" w:rsidP="002E712E">
      <w:pPr>
        <w:pStyle w:val="BodyTextIndent"/>
        <w:rPr>
          <w:bCs/>
          <w:sz w:val="22"/>
          <w:szCs w:val="22"/>
        </w:rPr>
      </w:pPr>
      <w:r w:rsidRPr="002E712E">
        <w:rPr>
          <w:b/>
          <w:bCs/>
          <w:sz w:val="22"/>
          <w:szCs w:val="22"/>
        </w:rPr>
        <w:lastRenderedPageBreak/>
        <w:t>Boundary and Material Setup</w:t>
      </w:r>
      <w:r w:rsidRPr="002E712E">
        <w:rPr>
          <w:bCs/>
          <w:sz w:val="22"/>
          <w:szCs w:val="22"/>
        </w:rPr>
        <w:t>:</w:t>
      </w:r>
    </w:p>
    <w:p w14:paraId="2DAD2723" w14:textId="77C1CDE9" w:rsidR="002E712E" w:rsidRDefault="002E712E" w:rsidP="002E712E">
      <w:pPr>
        <w:pStyle w:val="BodyTextIndent"/>
        <w:numPr>
          <w:ilvl w:val="0"/>
          <w:numId w:val="2"/>
        </w:numPr>
        <w:rPr>
          <w:bCs/>
          <w:sz w:val="22"/>
          <w:szCs w:val="22"/>
        </w:rPr>
      </w:pPr>
      <w:r w:rsidRPr="002E712E">
        <w:rPr>
          <w:bCs/>
          <w:sz w:val="22"/>
          <w:szCs w:val="22"/>
        </w:rPr>
        <w:t>Both fuel elements (curved and flat) were assumed to be submerged in water, with no other materials present.</w:t>
      </w:r>
    </w:p>
    <w:p w14:paraId="61056C63" w14:textId="77777777" w:rsidR="002E712E" w:rsidRDefault="002E712E" w:rsidP="002E712E">
      <w:pPr>
        <w:pStyle w:val="BodyTextIndent"/>
        <w:ind w:left="720" w:firstLine="0"/>
        <w:rPr>
          <w:bCs/>
          <w:sz w:val="22"/>
          <w:szCs w:val="22"/>
        </w:rPr>
      </w:pPr>
    </w:p>
    <w:p w14:paraId="3AD4B4B2" w14:textId="7E138966" w:rsidR="002E712E" w:rsidRPr="002E712E" w:rsidRDefault="002E712E" w:rsidP="00EF79D7">
      <w:pPr>
        <w:pStyle w:val="BodyTextIndent"/>
        <w:ind w:left="360" w:firstLine="0"/>
        <w:jc w:val="left"/>
        <w:rPr>
          <w:i/>
          <w:iCs/>
        </w:rPr>
      </w:pPr>
      <w:r w:rsidRPr="00BB7497">
        <w:rPr>
          <w:i/>
          <w:iCs/>
        </w:rPr>
        <w:t xml:space="preserve">Table I </w:t>
      </w:r>
      <w:r w:rsidR="00EF79D7" w:rsidRPr="00EF79D7">
        <w:rPr>
          <w:i/>
          <w:iCs/>
        </w:rPr>
        <w:t>Material composition used in the OpenMC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0"/>
        <w:gridCol w:w="1575"/>
        <w:gridCol w:w="1575"/>
      </w:tblGrid>
      <w:tr w:rsidR="00EF79D7" w14:paraId="1D70B6D5" w14:textId="77777777" w:rsidTr="000B2753">
        <w:tc>
          <w:tcPr>
            <w:tcW w:w="1610" w:type="dxa"/>
            <w:tcBorders>
              <w:bottom w:val="single" w:sz="4" w:space="0" w:color="auto"/>
            </w:tcBorders>
            <w:vAlign w:val="center"/>
          </w:tcPr>
          <w:p w14:paraId="0D24D261" w14:textId="0FC0939A" w:rsidR="00EF79D7" w:rsidRDefault="00EF79D7" w:rsidP="000B2753">
            <w:pPr>
              <w:pStyle w:val="BodyTextIndent"/>
              <w:ind w:firstLine="0"/>
              <w:jc w:val="left"/>
              <w:rPr>
                <w:sz w:val="18"/>
              </w:rPr>
            </w:pPr>
            <w:r>
              <w:rPr>
                <w:sz w:val="18"/>
              </w:rPr>
              <w:t>Material</w:t>
            </w:r>
          </w:p>
        </w:tc>
        <w:tc>
          <w:tcPr>
            <w:tcW w:w="3150" w:type="dxa"/>
            <w:gridSpan w:val="2"/>
            <w:tcBorders>
              <w:bottom w:val="single" w:sz="4" w:space="0" w:color="auto"/>
            </w:tcBorders>
          </w:tcPr>
          <w:p w14:paraId="2F9FB85E" w14:textId="120E5745" w:rsidR="00EF79D7" w:rsidRPr="00EF79D7" w:rsidRDefault="00EF79D7" w:rsidP="00EF79D7">
            <w:pPr>
              <w:pStyle w:val="BodyTextIndent"/>
              <w:ind w:firstLine="0"/>
              <w:jc w:val="center"/>
              <w:rPr>
                <w:sz w:val="18"/>
              </w:rPr>
            </w:pPr>
            <w:r w:rsidRPr="00EF79D7">
              <w:rPr>
                <w:sz w:val="18"/>
              </w:rPr>
              <w:t>Isotopic Composition (Atomic Percentage [a/o])</w:t>
            </w:r>
          </w:p>
        </w:tc>
      </w:tr>
      <w:tr w:rsidR="00EF79D7" w14:paraId="521DB7BF" w14:textId="77777777" w:rsidTr="00EF79D7">
        <w:tc>
          <w:tcPr>
            <w:tcW w:w="1610" w:type="dxa"/>
            <w:vMerge w:val="restart"/>
            <w:tcBorders>
              <w:right w:val="single" w:sz="4" w:space="0" w:color="auto"/>
            </w:tcBorders>
            <w:vAlign w:val="center"/>
          </w:tcPr>
          <w:p w14:paraId="6B600F21" w14:textId="77777777" w:rsidR="00EF79D7" w:rsidRPr="00EF79D7" w:rsidRDefault="00EF79D7" w:rsidP="00EF79D7">
            <w:pPr>
              <w:pStyle w:val="BodyTextIndent"/>
              <w:rPr>
                <w:bCs/>
                <w:sz w:val="18"/>
                <w:lang w:bidi="en-US"/>
              </w:rPr>
            </w:pPr>
            <w:r w:rsidRPr="00EF79D7">
              <w:rPr>
                <w:bCs/>
                <w:sz w:val="18"/>
                <w:lang w:bidi="en-US"/>
              </w:rPr>
              <w:t>U</w:t>
            </w:r>
            <w:r w:rsidRPr="00EF79D7">
              <w:rPr>
                <w:bCs/>
                <w:sz w:val="18"/>
                <w:vertAlign w:val="subscript"/>
                <w:lang w:bidi="en-US"/>
              </w:rPr>
              <w:t>3</w:t>
            </w:r>
            <w:r w:rsidRPr="00EF79D7">
              <w:rPr>
                <w:bCs/>
                <w:sz w:val="18"/>
                <w:lang w:bidi="en-US"/>
              </w:rPr>
              <w:t>Si</w:t>
            </w:r>
            <w:r w:rsidRPr="00EF79D7">
              <w:rPr>
                <w:bCs/>
                <w:sz w:val="18"/>
                <w:vertAlign w:val="subscript"/>
                <w:lang w:bidi="en-US"/>
              </w:rPr>
              <w:t>2</w:t>
            </w:r>
            <w:r w:rsidRPr="00EF79D7">
              <w:rPr>
                <w:bCs/>
                <w:sz w:val="18"/>
                <w:lang w:bidi="en-US"/>
              </w:rPr>
              <w:t>-Al</w:t>
            </w:r>
          </w:p>
          <w:p w14:paraId="0822C434" w14:textId="5F31457F" w:rsidR="00EF79D7" w:rsidRDefault="00EF79D7" w:rsidP="00EF79D7">
            <w:pPr>
              <w:pStyle w:val="BodyTextIndent"/>
              <w:ind w:firstLine="0"/>
              <w:jc w:val="center"/>
              <w:rPr>
                <w:sz w:val="18"/>
              </w:rPr>
            </w:pPr>
            <w:r w:rsidRPr="00EF79D7">
              <w:rPr>
                <w:bCs/>
                <w:sz w:val="18"/>
              </w:rPr>
              <w:t>(19.75% enriched)</w:t>
            </w:r>
          </w:p>
        </w:tc>
        <w:tc>
          <w:tcPr>
            <w:tcW w:w="1575" w:type="dxa"/>
            <w:tcBorders>
              <w:top w:val="single" w:sz="4" w:space="0" w:color="auto"/>
              <w:left w:val="single" w:sz="4" w:space="0" w:color="auto"/>
              <w:bottom w:val="nil"/>
              <w:right w:val="nil"/>
            </w:tcBorders>
            <w:shd w:val="clear" w:color="auto" w:fill="auto"/>
            <w:vAlign w:val="center"/>
          </w:tcPr>
          <w:p w14:paraId="38CDA28F" w14:textId="5B8E44D9" w:rsidR="00EF79D7" w:rsidRDefault="00EF79D7" w:rsidP="00EF79D7">
            <w:pPr>
              <w:pStyle w:val="BodyTextIndent"/>
              <w:ind w:firstLine="0"/>
              <w:jc w:val="center"/>
              <w:rPr>
                <w:sz w:val="18"/>
              </w:rPr>
            </w:pPr>
            <w:r w:rsidRPr="00C63D23">
              <w:rPr>
                <w:rFonts w:cstheme="majorBidi"/>
                <w:bCs/>
                <w:color w:val="000000" w:themeColor="text1"/>
                <w:sz w:val="18"/>
                <w:szCs w:val="18"/>
              </w:rPr>
              <w:t>U-238</w:t>
            </w:r>
          </w:p>
        </w:tc>
        <w:tc>
          <w:tcPr>
            <w:tcW w:w="1575" w:type="dxa"/>
            <w:tcBorders>
              <w:top w:val="single" w:sz="4" w:space="0" w:color="auto"/>
              <w:left w:val="nil"/>
              <w:bottom w:val="nil"/>
              <w:right w:val="single" w:sz="4" w:space="0" w:color="auto"/>
            </w:tcBorders>
            <w:shd w:val="clear" w:color="auto" w:fill="auto"/>
            <w:vAlign w:val="center"/>
          </w:tcPr>
          <w:p w14:paraId="43E20D1C" w14:textId="5DC4FEEC" w:rsidR="00EF79D7" w:rsidRDefault="00EF79D7" w:rsidP="00EF79D7">
            <w:pPr>
              <w:pStyle w:val="BodyTextIndent"/>
              <w:ind w:firstLine="0"/>
              <w:jc w:val="center"/>
              <w:rPr>
                <w:sz w:val="18"/>
              </w:rPr>
            </w:pPr>
            <w:r w:rsidRPr="00C63D23">
              <w:rPr>
                <w:rFonts w:cstheme="majorBidi"/>
                <w:bCs/>
                <w:color w:val="000000" w:themeColor="text1"/>
                <w:sz w:val="18"/>
                <w:szCs w:val="18"/>
              </w:rPr>
              <w:t>(0.129533)</w:t>
            </w:r>
          </w:p>
        </w:tc>
      </w:tr>
      <w:tr w:rsidR="00EF79D7" w14:paraId="78DE9B87" w14:textId="77777777" w:rsidTr="00EF79D7">
        <w:tc>
          <w:tcPr>
            <w:tcW w:w="1610" w:type="dxa"/>
            <w:vMerge/>
            <w:tcBorders>
              <w:right w:val="single" w:sz="4" w:space="0" w:color="auto"/>
            </w:tcBorders>
          </w:tcPr>
          <w:p w14:paraId="25771AA0" w14:textId="77777777" w:rsidR="00EF79D7" w:rsidRPr="00EF79D7" w:rsidRDefault="00EF79D7" w:rsidP="00EF79D7">
            <w:pPr>
              <w:pStyle w:val="BodyTextIndent"/>
              <w:jc w:val="left"/>
              <w:rPr>
                <w:bCs/>
                <w:sz w:val="18"/>
                <w:lang w:bidi="en-US"/>
              </w:rPr>
            </w:pPr>
          </w:p>
        </w:tc>
        <w:tc>
          <w:tcPr>
            <w:tcW w:w="1575" w:type="dxa"/>
            <w:tcBorders>
              <w:top w:val="nil"/>
              <w:left w:val="single" w:sz="4" w:space="0" w:color="auto"/>
              <w:bottom w:val="nil"/>
              <w:right w:val="nil"/>
            </w:tcBorders>
            <w:shd w:val="clear" w:color="auto" w:fill="auto"/>
            <w:vAlign w:val="center"/>
          </w:tcPr>
          <w:p w14:paraId="654530E8" w14:textId="69748943" w:rsidR="00EF79D7" w:rsidRDefault="00EF79D7" w:rsidP="00EF79D7">
            <w:pPr>
              <w:pStyle w:val="BodyTextIndent"/>
              <w:ind w:firstLine="0"/>
              <w:jc w:val="center"/>
              <w:rPr>
                <w:sz w:val="18"/>
              </w:rPr>
            </w:pPr>
            <w:r w:rsidRPr="00C63D23">
              <w:rPr>
                <w:rFonts w:cstheme="majorBidi"/>
                <w:color w:val="000000" w:themeColor="text1"/>
                <w:sz w:val="18"/>
                <w:szCs w:val="18"/>
              </w:rPr>
              <w:t>U-235</w:t>
            </w:r>
          </w:p>
        </w:tc>
        <w:tc>
          <w:tcPr>
            <w:tcW w:w="1575" w:type="dxa"/>
            <w:tcBorders>
              <w:top w:val="nil"/>
              <w:left w:val="nil"/>
              <w:bottom w:val="nil"/>
              <w:right w:val="single" w:sz="4" w:space="0" w:color="auto"/>
            </w:tcBorders>
            <w:shd w:val="clear" w:color="auto" w:fill="auto"/>
            <w:vAlign w:val="center"/>
          </w:tcPr>
          <w:p w14:paraId="2A722ABF" w14:textId="36C2ADE6" w:rsidR="00EF79D7" w:rsidRDefault="00EF79D7" w:rsidP="00EF79D7">
            <w:pPr>
              <w:pStyle w:val="BodyTextIndent"/>
              <w:ind w:firstLine="0"/>
              <w:jc w:val="center"/>
              <w:rPr>
                <w:sz w:val="18"/>
              </w:rPr>
            </w:pPr>
            <w:r w:rsidRPr="00C63D23">
              <w:rPr>
                <w:rFonts w:cstheme="majorBidi"/>
                <w:color w:val="000000" w:themeColor="text1"/>
                <w:sz w:val="18"/>
                <w:szCs w:val="18"/>
              </w:rPr>
              <w:t>(0.032287)</w:t>
            </w:r>
          </w:p>
        </w:tc>
      </w:tr>
      <w:tr w:rsidR="00EF79D7" w14:paraId="20D74542" w14:textId="77777777" w:rsidTr="00EF79D7">
        <w:tc>
          <w:tcPr>
            <w:tcW w:w="1610" w:type="dxa"/>
            <w:vMerge/>
            <w:tcBorders>
              <w:right w:val="single" w:sz="4" w:space="0" w:color="auto"/>
            </w:tcBorders>
          </w:tcPr>
          <w:p w14:paraId="758BE643" w14:textId="77777777" w:rsidR="00EF79D7" w:rsidRPr="00EF79D7" w:rsidRDefault="00EF79D7" w:rsidP="00EF79D7">
            <w:pPr>
              <w:pStyle w:val="BodyTextIndent"/>
              <w:jc w:val="left"/>
              <w:rPr>
                <w:bCs/>
                <w:sz w:val="18"/>
                <w:lang w:bidi="en-US"/>
              </w:rPr>
            </w:pPr>
          </w:p>
        </w:tc>
        <w:tc>
          <w:tcPr>
            <w:tcW w:w="1575" w:type="dxa"/>
            <w:tcBorders>
              <w:top w:val="nil"/>
              <w:left w:val="single" w:sz="4" w:space="0" w:color="auto"/>
              <w:bottom w:val="nil"/>
              <w:right w:val="nil"/>
            </w:tcBorders>
            <w:shd w:val="clear" w:color="auto" w:fill="auto"/>
            <w:vAlign w:val="center"/>
          </w:tcPr>
          <w:p w14:paraId="130D958C" w14:textId="5639B6A5" w:rsidR="00EF79D7" w:rsidRDefault="00EF79D7" w:rsidP="00EF79D7">
            <w:pPr>
              <w:pStyle w:val="BodyTextIndent"/>
              <w:ind w:firstLine="0"/>
              <w:jc w:val="center"/>
              <w:rPr>
                <w:sz w:val="18"/>
              </w:rPr>
            </w:pPr>
            <w:r w:rsidRPr="00C63D23">
              <w:rPr>
                <w:rFonts w:cstheme="majorBidi"/>
                <w:bCs/>
                <w:color w:val="000000" w:themeColor="text1"/>
                <w:sz w:val="18"/>
                <w:szCs w:val="18"/>
              </w:rPr>
              <w:t>Si-28</w:t>
            </w:r>
          </w:p>
        </w:tc>
        <w:tc>
          <w:tcPr>
            <w:tcW w:w="1575" w:type="dxa"/>
            <w:tcBorders>
              <w:top w:val="nil"/>
              <w:left w:val="nil"/>
              <w:bottom w:val="nil"/>
              <w:right w:val="single" w:sz="4" w:space="0" w:color="auto"/>
            </w:tcBorders>
            <w:shd w:val="clear" w:color="auto" w:fill="auto"/>
            <w:vAlign w:val="center"/>
          </w:tcPr>
          <w:p w14:paraId="0B2EE36B" w14:textId="7F20C482" w:rsidR="00EF79D7" w:rsidRDefault="00EF79D7" w:rsidP="00EF79D7">
            <w:pPr>
              <w:pStyle w:val="BodyTextIndent"/>
              <w:ind w:firstLine="0"/>
              <w:jc w:val="center"/>
              <w:rPr>
                <w:sz w:val="18"/>
              </w:rPr>
            </w:pPr>
            <w:r w:rsidRPr="00C63D23">
              <w:rPr>
                <w:rFonts w:cstheme="majorBidi"/>
                <w:bCs/>
                <w:color w:val="000000" w:themeColor="text1"/>
                <w:sz w:val="18"/>
                <w:szCs w:val="18"/>
              </w:rPr>
              <w:t>(0.099366)</w:t>
            </w:r>
          </w:p>
        </w:tc>
      </w:tr>
      <w:tr w:rsidR="00EF79D7" w14:paraId="3315543F" w14:textId="77777777" w:rsidTr="00EF79D7">
        <w:tc>
          <w:tcPr>
            <w:tcW w:w="1610" w:type="dxa"/>
            <w:vMerge/>
            <w:tcBorders>
              <w:right w:val="single" w:sz="4" w:space="0" w:color="auto"/>
            </w:tcBorders>
          </w:tcPr>
          <w:p w14:paraId="5D505255" w14:textId="77777777" w:rsidR="00EF79D7" w:rsidRPr="00EF79D7" w:rsidRDefault="00EF79D7" w:rsidP="00EF79D7">
            <w:pPr>
              <w:pStyle w:val="BodyTextIndent"/>
              <w:jc w:val="left"/>
              <w:rPr>
                <w:bCs/>
                <w:sz w:val="18"/>
                <w:lang w:bidi="en-US"/>
              </w:rPr>
            </w:pPr>
          </w:p>
        </w:tc>
        <w:tc>
          <w:tcPr>
            <w:tcW w:w="1575" w:type="dxa"/>
            <w:tcBorders>
              <w:top w:val="nil"/>
              <w:left w:val="single" w:sz="4" w:space="0" w:color="auto"/>
              <w:bottom w:val="nil"/>
              <w:right w:val="nil"/>
            </w:tcBorders>
            <w:shd w:val="clear" w:color="auto" w:fill="auto"/>
            <w:vAlign w:val="center"/>
          </w:tcPr>
          <w:p w14:paraId="6D7362E3" w14:textId="271FB700" w:rsidR="00EF79D7" w:rsidRDefault="00EF79D7" w:rsidP="00EF79D7">
            <w:pPr>
              <w:pStyle w:val="BodyTextIndent"/>
              <w:ind w:firstLine="0"/>
              <w:jc w:val="center"/>
              <w:rPr>
                <w:sz w:val="18"/>
              </w:rPr>
            </w:pPr>
            <w:r w:rsidRPr="00C63D23">
              <w:rPr>
                <w:rFonts w:cstheme="majorBidi"/>
                <w:color w:val="000000" w:themeColor="text1"/>
                <w:sz w:val="18"/>
                <w:szCs w:val="18"/>
              </w:rPr>
              <w:t>Si-29</w:t>
            </w:r>
          </w:p>
        </w:tc>
        <w:tc>
          <w:tcPr>
            <w:tcW w:w="1575" w:type="dxa"/>
            <w:tcBorders>
              <w:top w:val="nil"/>
              <w:left w:val="nil"/>
              <w:bottom w:val="nil"/>
              <w:right w:val="single" w:sz="4" w:space="0" w:color="auto"/>
            </w:tcBorders>
            <w:shd w:val="clear" w:color="auto" w:fill="auto"/>
            <w:vAlign w:val="center"/>
          </w:tcPr>
          <w:p w14:paraId="7EA5A0C3" w14:textId="06BC3393" w:rsidR="00EF79D7" w:rsidRDefault="00EF79D7" w:rsidP="00EF79D7">
            <w:pPr>
              <w:pStyle w:val="BodyTextIndent"/>
              <w:ind w:firstLine="0"/>
              <w:jc w:val="center"/>
              <w:rPr>
                <w:sz w:val="18"/>
              </w:rPr>
            </w:pPr>
            <w:r w:rsidRPr="00C63D23">
              <w:rPr>
                <w:rFonts w:cstheme="majorBidi"/>
                <w:color w:val="000000" w:themeColor="text1"/>
                <w:sz w:val="18"/>
                <w:szCs w:val="18"/>
              </w:rPr>
              <w:t>(0.005046)</w:t>
            </w:r>
          </w:p>
        </w:tc>
      </w:tr>
      <w:tr w:rsidR="00EF79D7" w14:paraId="49B556F1" w14:textId="77777777" w:rsidTr="00EF79D7">
        <w:tc>
          <w:tcPr>
            <w:tcW w:w="1610" w:type="dxa"/>
            <w:vMerge/>
            <w:tcBorders>
              <w:right w:val="single" w:sz="4" w:space="0" w:color="auto"/>
            </w:tcBorders>
          </w:tcPr>
          <w:p w14:paraId="4D534017" w14:textId="77777777" w:rsidR="00EF79D7" w:rsidRPr="00EF79D7" w:rsidRDefault="00EF79D7" w:rsidP="00EF79D7">
            <w:pPr>
              <w:pStyle w:val="BodyTextIndent"/>
              <w:jc w:val="left"/>
              <w:rPr>
                <w:bCs/>
                <w:sz w:val="18"/>
                <w:lang w:bidi="en-US"/>
              </w:rPr>
            </w:pPr>
          </w:p>
        </w:tc>
        <w:tc>
          <w:tcPr>
            <w:tcW w:w="1575" w:type="dxa"/>
            <w:tcBorders>
              <w:top w:val="nil"/>
              <w:left w:val="single" w:sz="4" w:space="0" w:color="auto"/>
              <w:bottom w:val="nil"/>
              <w:right w:val="nil"/>
            </w:tcBorders>
            <w:shd w:val="clear" w:color="auto" w:fill="auto"/>
            <w:vAlign w:val="center"/>
          </w:tcPr>
          <w:p w14:paraId="0DCE88E7" w14:textId="0CF80CD7" w:rsidR="00EF79D7" w:rsidRDefault="00EF79D7" w:rsidP="00EF79D7">
            <w:pPr>
              <w:pStyle w:val="BodyTextIndent"/>
              <w:ind w:firstLine="0"/>
              <w:jc w:val="center"/>
              <w:rPr>
                <w:sz w:val="18"/>
              </w:rPr>
            </w:pPr>
            <w:r w:rsidRPr="00C63D23">
              <w:rPr>
                <w:rFonts w:cstheme="majorBidi"/>
                <w:bCs/>
                <w:color w:val="000000" w:themeColor="text1"/>
                <w:sz w:val="18"/>
                <w:szCs w:val="18"/>
              </w:rPr>
              <w:t>Si-30</w:t>
            </w:r>
          </w:p>
        </w:tc>
        <w:tc>
          <w:tcPr>
            <w:tcW w:w="1575" w:type="dxa"/>
            <w:tcBorders>
              <w:top w:val="nil"/>
              <w:left w:val="nil"/>
              <w:bottom w:val="nil"/>
              <w:right w:val="single" w:sz="4" w:space="0" w:color="auto"/>
            </w:tcBorders>
            <w:shd w:val="clear" w:color="auto" w:fill="auto"/>
            <w:vAlign w:val="center"/>
          </w:tcPr>
          <w:p w14:paraId="4766B187" w14:textId="23115B11" w:rsidR="00EF79D7" w:rsidRDefault="00EF79D7" w:rsidP="00EF79D7">
            <w:pPr>
              <w:pStyle w:val="BodyTextIndent"/>
              <w:ind w:firstLine="0"/>
              <w:jc w:val="center"/>
              <w:rPr>
                <w:sz w:val="18"/>
              </w:rPr>
            </w:pPr>
            <w:r w:rsidRPr="00C63D23">
              <w:rPr>
                <w:rFonts w:cstheme="majorBidi"/>
                <w:color w:val="000000" w:themeColor="text1"/>
                <w:sz w:val="18"/>
                <w:szCs w:val="18"/>
              </w:rPr>
              <w:t>(0.003326)</w:t>
            </w:r>
          </w:p>
        </w:tc>
      </w:tr>
      <w:tr w:rsidR="00EF79D7" w14:paraId="02BD9D36" w14:textId="77777777" w:rsidTr="00EF79D7">
        <w:tc>
          <w:tcPr>
            <w:tcW w:w="1610" w:type="dxa"/>
            <w:vMerge/>
            <w:tcBorders>
              <w:bottom w:val="single" w:sz="4" w:space="0" w:color="auto"/>
              <w:right w:val="single" w:sz="4" w:space="0" w:color="auto"/>
            </w:tcBorders>
          </w:tcPr>
          <w:p w14:paraId="3F6902DB" w14:textId="77777777" w:rsidR="00EF79D7" w:rsidRPr="00EF79D7" w:rsidRDefault="00EF79D7" w:rsidP="00EF79D7">
            <w:pPr>
              <w:pStyle w:val="BodyTextIndent"/>
              <w:jc w:val="left"/>
              <w:rPr>
                <w:bCs/>
                <w:sz w:val="18"/>
                <w:lang w:bidi="en-US"/>
              </w:rPr>
            </w:pPr>
          </w:p>
        </w:tc>
        <w:tc>
          <w:tcPr>
            <w:tcW w:w="1575" w:type="dxa"/>
            <w:tcBorders>
              <w:top w:val="nil"/>
              <w:left w:val="single" w:sz="4" w:space="0" w:color="auto"/>
              <w:bottom w:val="single" w:sz="4" w:space="0" w:color="auto"/>
              <w:right w:val="nil"/>
            </w:tcBorders>
            <w:shd w:val="clear" w:color="auto" w:fill="auto"/>
            <w:vAlign w:val="center"/>
          </w:tcPr>
          <w:p w14:paraId="3A9F61CD" w14:textId="6BDF4F2C" w:rsidR="00EF79D7" w:rsidRDefault="00EF79D7" w:rsidP="00EF79D7">
            <w:pPr>
              <w:pStyle w:val="BodyTextIndent"/>
              <w:ind w:firstLine="0"/>
              <w:jc w:val="center"/>
              <w:rPr>
                <w:sz w:val="18"/>
              </w:rPr>
            </w:pPr>
            <w:r w:rsidRPr="00C63D23">
              <w:rPr>
                <w:rFonts w:cstheme="majorBidi"/>
                <w:color w:val="000000" w:themeColor="text1"/>
                <w:sz w:val="18"/>
                <w:szCs w:val="18"/>
              </w:rPr>
              <w:t>Al-27</w:t>
            </w:r>
          </w:p>
        </w:tc>
        <w:tc>
          <w:tcPr>
            <w:tcW w:w="1575" w:type="dxa"/>
            <w:tcBorders>
              <w:top w:val="nil"/>
              <w:left w:val="nil"/>
              <w:bottom w:val="single" w:sz="4" w:space="0" w:color="auto"/>
              <w:right w:val="single" w:sz="4" w:space="0" w:color="auto"/>
            </w:tcBorders>
            <w:shd w:val="clear" w:color="auto" w:fill="auto"/>
            <w:vAlign w:val="center"/>
          </w:tcPr>
          <w:p w14:paraId="0F77D1F0" w14:textId="70ED4D6F" w:rsidR="00EF79D7" w:rsidRDefault="00EF79D7" w:rsidP="00EF79D7">
            <w:pPr>
              <w:pStyle w:val="BodyTextIndent"/>
              <w:ind w:firstLine="0"/>
              <w:jc w:val="center"/>
              <w:rPr>
                <w:sz w:val="18"/>
              </w:rPr>
            </w:pPr>
            <w:r w:rsidRPr="00C63D23">
              <w:rPr>
                <w:rFonts w:cstheme="majorBidi"/>
                <w:color w:val="000000" w:themeColor="text1"/>
                <w:sz w:val="18"/>
                <w:szCs w:val="18"/>
              </w:rPr>
              <w:t>(0.730443)</w:t>
            </w:r>
          </w:p>
        </w:tc>
      </w:tr>
    </w:tbl>
    <w:p w14:paraId="5E406656" w14:textId="77777777" w:rsidR="002E712E" w:rsidRPr="002E712E" w:rsidRDefault="002E712E" w:rsidP="002E712E">
      <w:pPr>
        <w:pStyle w:val="BodyTextIndent"/>
        <w:ind w:firstLine="0"/>
        <w:rPr>
          <w:bCs/>
          <w:sz w:val="22"/>
          <w:szCs w:val="22"/>
        </w:rPr>
      </w:pPr>
    </w:p>
    <w:p w14:paraId="66C3358A" w14:textId="16617CE1" w:rsidR="002E712E" w:rsidRDefault="002E712E" w:rsidP="002E712E">
      <w:pPr>
        <w:pStyle w:val="BodyTextIndent"/>
        <w:numPr>
          <w:ilvl w:val="0"/>
          <w:numId w:val="2"/>
        </w:numPr>
        <w:rPr>
          <w:bCs/>
          <w:sz w:val="22"/>
          <w:szCs w:val="22"/>
        </w:rPr>
      </w:pPr>
      <w:r w:rsidRPr="002E712E">
        <w:rPr>
          <w:bCs/>
          <w:sz w:val="22"/>
          <w:szCs w:val="22"/>
        </w:rPr>
        <w:t>The boundary condition was set to be periodic, ensuring an infinite reactor parameter.</w:t>
      </w:r>
    </w:p>
    <w:p w14:paraId="350087C6" w14:textId="77777777" w:rsidR="00EF79D7" w:rsidRDefault="00EF79D7" w:rsidP="00EF79D7">
      <w:pPr>
        <w:pStyle w:val="BodyTextIndent"/>
        <w:ind w:left="360" w:firstLine="0"/>
        <w:rPr>
          <w:bCs/>
          <w:sz w:val="22"/>
          <w:szCs w:val="22"/>
        </w:rPr>
      </w:pPr>
    </w:p>
    <w:p w14:paraId="31191B34" w14:textId="0A5F573D" w:rsidR="00EF79D7" w:rsidRDefault="00EF79D7" w:rsidP="004C4D75">
      <w:pPr>
        <w:pStyle w:val="BodyTextIndent"/>
        <w:jc w:val="center"/>
        <w:rPr>
          <w:sz w:val="22"/>
          <w:szCs w:val="22"/>
        </w:rPr>
      </w:pPr>
      <w:r>
        <w:rPr>
          <w:noProof/>
        </w:rPr>
        <w:drawing>
          <wp:inline distT="0" distB="0" distL="0" distR="0" wp14:anchorId="1315F69A" wp14:editId="1BC312D4">
            <wp:extent cx="1620455" cy="1620455"/>
            <wp:effectExtent l="19050" t="19050" r="18415" b="1841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6297" cy="1636297"/>
                    </a:xfrm>
                    <a:prstGeom prst="rect">
                      <a:avLst/>
                    </a:prstGeom>
                    <a:ln w="3175">
                      <a:solidFill>
                        <a:schemeClr val="tx1"/>
                      </a:solidFill>
                    </a:ln>
                  </pic:spPr>
                </pic:pic>
              </a:graphicData>
            </a:graphic>
          </wp:inline>
        </w:drawing>
      </w:r>
    </w:p>
    <w:p w14:paraId="2B3556A9" w14:textId="341931C7" w:rsidR="00EF79D7" w:rsidRDefault="00EF79D7" w:rsidP="00DB67A4">
      <w:pPr>
        <w:pStyle w:val="BodyTextIndent"/>
        <w:rPr>
          <w:i/>
          <w:iCs/>
        </w:rPr>
      </w:pPr>
      <w:r w:rsidRPr="00BB7497">
        <w:rPr>
          <w:i/>
          <w:iCs/>
        </w:rPr>
        <w:t xml:space="preserve">Fig. </w:t>
      </w:r>
      <w:r w:rsidR="00DB67A4">
        <w:rPr>
          <w:i/>
          <w:iCs/>
        </w:rPr>
        <w:t>3</w:t>
      </w:r>
      <w:r w:rsidRPr="00BB7497">
        <w:rPr>
          <w:i/>
          <w:iCs/>
        </w:rPr>
        <w:t xml:space="preserve">. </w:t>
      </w:r>
      <w:r w:rsidR="008276B4" w:rsidRPr="008276B4">
        <w:rPr>
          <w:i/>
          <w:iCs/>
        </w:rPr>
        <w:t>Periodic Boundary Condition</w:t>
      </w:r>
    </w:p>
    <w:p w14:paraId="014E424F" w14:textId="77777777" w:rsidR="009E1A57" w:rsidRDefault="009E1A57" w:rsidP="00A96F1A">
      <w:pPr>
        <w:pStyle w:val="BodyTextIndent"/>
        <w:rPr>
          <w:bCs/>
          <w:sz w:val="22"/>
          <w:szCs w:val="22"/>
        </w:rPr>
      </w:pPr>
    </w:p>
    <w:p w14:paraId="5AB7A938" w14:textId="395073A5" w:rsidR="000B3F5A" w:rsidRDefault="008276B4" w:rsidP="003F132F">
      <w:pPr>
        <w:pStyle w:val="BodyTextIndent"/>
        <w:rPr>
          <w:b/>
          <w:bCs/>
          <w:sz w:val="22"/>
          <w:szCs w:val="22"/>
        </w:rPr>
      </w:pPr>
      <w:r w:rsidRPr="008276B4">
        <w:rPr>
          <w:b/>
          <w:bCs/>
          <w:sz w:val="22"/>
          <w:szCs w:val="22"/>
        </w:rPr>
        <w:t>Geometry Inputs:</w:t>
      </w:r>
    </w:p>
    <w:p w14:paraId="5E715502" w14:textId="250DF2BC" w:rsidR="008276B4" w:rsidRDefault="008276B4" w:rsidP="008276B4">
      <w:pPr>
        <w:pStyle w:val="BodyTextIndent"/>
        <w:numPr>
          <w:ilvl w:val="0"/>
          <w:numId w:val="2"/>
        </w:numPr>
        <w:rPr>
          <w:sz w:val="22"/>
          <w:szCs w:val="22"/>
        </w:rPr>
      </w:pPr>
      <w:r w:rsidRPr="008276B4">
        <w:rPr>
          <w:sz w:val="22"/>
          <w:szCs w:val="22"/>
        </w:rPr>
        <w:t xml:space="preserve">The geometry inputs for the simulations were identical </w:t>
      </w:r>
      <w:r w:rsidRPr="008276B4">
        <w:rPr>
          <w:bCs/>
          <w:sz w:val="22"/>
          <w:szCs w:val="22"/>
        </w:rPr>
        <w:t>for</w:t>
      </w:r>
      <w:r w:rsidRPr="008276B4">
        <w:rPr>
          <w:sz w:val="22"/>
          <w:szCs w:val="22"/>
        </w:rPr>
        <w:t xml:space="preserve"> both fuel element models, with the only difference being the fuel dimension.</w:t>
      </w:r>
    </w:p>
    <w:p w14:paraId="2325E3DA" w14:textId="2E22071C" w:rsidR="008276B4" w:rsidRDefault="008276B4" w:rsidP="008276B4">
      <w:pPr>
        <w:pStyle w:val="BodyTextIndent"/>
        <w:rPr>
          <w:b/>
          <w:bCs/>
          <w:sz w:val="22"/>
          <w:szCs w:val="22"/>
        </w:rPr>
      </w:pPr>
      <w:r w:rsidRPr="008276B4">
        <w:rPr>
          <w:b/>
          <w:bCs/>
          <w:sz w:val="22"/>
          <w:szCs w:val="22"/>
        </w:rPr>
        <w:t>Volume Estimation:</w:t>
      </w:r>
    </w:p>
    <w:p w14:paraId="0C463A74" w14:textId="77777777" w:rsidR="008276B4" w:rsidRPr="008276B4" w:rsidRDefault="008276B4" w:rsidP="008276B4">
      <w:pPr>
        <w:pStyle w:val="BodyTextIndent"/>
        <w:numPr>
          <w:ilvl w:val="0"/>
          <w:numId w:val="2"/>
        </w:numPr>
        <w:rPr>
          <w:bCs/>
          <w:sz w:val="22"/>
          <w:szCs w:val="22"/>
        </w:rPr>
      </w:pPr>
      <w:r w:rsidRPr="008276B4">
        <w:rPr>
          <w:bCs/>
          <w:sz w:val="22"/>
          <w:szCs w:val="22"/>
        </w:rPr>
        <w:t>The volume of each fuel element was determined using the volume calculation provided by OpenMC.</w:t>
      </w:r>
    </w:p>
    <w:p w14:paraId="6A777E22" w14:textId="0C43BF28" w:rsidR="008276B4" w:rsidRDefault="008276B4" w:rsidP="008276B4">
      <w:pPr>
        <w:pStyle w:val="BodyTextIndent"/>
        <w:numPr>
          <w:ilvl w:val="0"/>
          <w:numId w:val="2"/>
        </w:numPr>
        <w:rPr>
          <w:bCs/>
          <w:sz w:val="22"/>
          <w:szCs w:val="22"/>
        </w:rPr>
      </w:pPr>
      <w:r w:rsidRPr="008276B4">
        <w:rPr>
          <w:bCs/>
          <w:sz w:val="22"/>
          <w:szCs w:val="22"/>
        </w:rPr>
        <w:t xml:space="preserve">A total of </w:t>
      </w:r>
      <m:oMath>
        <m:sSup>
          <m:sSupPr>
            <m:ctrlPr>
              <w:rPr>
                <w:rFonts w:ascii="Cambria Math" w:hAnsi="Cambria Math"/>
                <w:bCs/>
                <w:i/>
                <w:sz w:val="22"/>
                <w:szCs w:val="22"/>
              </w:rPr>
            </m:ctrlPr>
          </m:sSupPr>
          <m:e>
            <m:r>
              <w:rPr>
                <w:rFonts w:ascii="Cambria Math" w:hAnsi="Cambria Math"/>
                <w:sz w:val="22"/>
                <w:szCs w:val="22"/>
              </w:rPr>
              <m:t>1×10</m:t>
            </m:r>
          </m:e>
          <m:sup>
            <m:r>
              <w:rPr>
                <w:rFonts w:ascii="Cambria Math" w:hAnsi="Cambria Math"/>
                <w:sz w:val="22"/>
                <w:szCs w:val="22"/>
              </w:rPr>
              <m:t>11</m:t>
            </m:r>
          </m:sup>
        </m:sSup>
      </m:oMath>
      <w:r w:rsidRPr="008276B4">
        <w:rPr>
          <w:bCs/>
          <w:sz w:val="22"/>
          <w:szCs w:val="22"/>
        </w:rPr>
        <w:t xml:space="preserve"> samples were chosen for the volume estimator to ensure accurate results.</w:t>
      </w:r>
    </w:p>
    <w:p w14:paraId="1E090FEA" w14:textId="513A7653" w:rsidR="008276B4" w:rsidRPr="008276B4" w:rsidRDefault="008276B4" w:rsidP="008276B4">
      <w:pPr>
        <w:pStyle w:val="BodyTextIndent"/>
        <w:rPr>
          <w:b/>
          <w:bCs/>
          <w:sz w:val="22"/>
          <w:szCs w:val="22"/>
        </w:rPr>
      </w:pPr>
      <w:r w:rsidRPr="008276B4">
        <w:rPr>
          <w:b/>
          <w:bCs/>
          <w:sz w:val="22"/>
          <w:szCs w:val="22"/>
        </w:rPr>
        <w:t>Particle and Generation Setup:</w:t>
      </w:r>
    </w:p>
    <w:p w14:paraId="0B0447CF" w14:textId="77777777" w:rsidR="008276B4" w:rsidRPr="008276B4" w:rsidRDefault="008276B4" w:rsidP="008276B4">
      <w:pPr>
        <w:pStyle w:val="BodyTextIndent"/>
        <w:numPr>
          <w:ilvl w:val="0"/>
          <w:numId w:val="2"/>
        </w:numPr>
        <w:rPr>
          <w:bCs/>
          <w:sz w:val="22"/>
          <w:szCs w:val="22"/>
        </w:rPr>
      </w:pPr>
      <w:r w:rsidRPr="008276B4">
        <w:rPr>
          <w:bCs/>
          <w:sz w:val="22"/>
          <w:szCs w:val="22"/>
        </w:rPr>
        <w:t>The number of generations and particles per generation were fixed for both fuel element models.</w:t>
      </w:r>
    </w:p>
    <w:p w14:paraId="3E43991B" w14:textId="296A3CA3" w:rsidR="008276B4" w:rsidRPr="008276B4" w:rsidRDefault="008276B4" w:rsidP="000B2753">
      <w:pPr>
        <w:pStyle w:val="BodyTextIndent"/>
        <w:numPr>
          <w:ilvl w:val="0"/>
          <w:numId w:val="2"/>
        </w:numPr>
        <w:rPr>
          <w:bCs/>
          <w:sz w:val="22"/>
          <w:szCs w:val="22"/>
        </w:rPr>
      </w:pPr>
      <w:r w:rsidRPr="008276B4">
        <w:rPr>
          <w:bCs/>
          <w:sz w:val="22"/>
          <w:szCs w:val="22"/>
        </w:rPr>
        <w:t>Specifically, 1,015 generations were used, wi</w:t>
      </w:r>
      <w:r w:rsidR="000B2753">
        <w:rPr>
          <w:bCs/>
          <w:sz w:val="22"/>
          <w:szCs w:val="22"/>
        </w:rPr>
        <w:t>th 15 generations to be skipped.</w:t>
      </w:r>
    </w:p>
    <w:p w14:paraId="73CDD97B" w14:textId="2456D967" w:rsidR="00422F64" w:rsidRPr="000B2753" w:rsidRDefault="008276B4" w:rsidP="000B2753">
      <w:pPr>
        <w:pStyle w:val="BodyTextIndent"/>
        <w:numPr>
          <w:ilvl w:val="0"/>
          <w:numId w:val="2"/>
        </w:numPr>
        <w:rPr>
          <w:bCs/>
          <w:sz w:val="22"/>
          <w:szCs w:val="22"/>
        </w:rPr>
      </w:pPr>
      <w:r w:rsidRPr="008276B4">
        <w:rPr>
          <w:bCs/>
          <w:sz w:val="22"/>
          <w:szCs w:val="22"/>
        </w:rPr>
        <w:t>Each generation contained 200,000 particles, contributing to a thorough analysis of neutron behavior.</w:t>
      </w:r>
    </w:p>
    <w:p w14:paraId="2A01C81E" w14:textId="36ED2B98" w:rsidR="008276B4" w:rsidRDefault="008276B4" w:rsidP="008276B4">
      <w:pPr>
        <w:pStyle w:val="BodyTextIndent"/>
        <w:rPr>
          <w:b/>
          <w:bCs/>
          <w:sz w:val="22"/>
          <w:szCs w:val="22"/>
        </w:rPr>
      </w:pPr>
      <w:r w:rsidRPr="008276B4">
        <w:rPr>
          <w:b/>
          <w:bCs/>
          <w:sz w:val="22"/>
          <w:szCs w:val="22"/>
        </w:rPr>
        <w:t>Distribution Analysis:</w:t>
      </w:r>
    </w:p>
    <w:p w14:paraId="37D6E660" w14:textId="66E58B6B" w:rsidR="008276B4" w:rsidRDefault="008276B4" w:rsidP="008276B4">
      <w:pPr>
        <w:pStyle w:val="BodyTextIndent"/>
        <w:numPr>
          <w:ilvl w:val="0"/>
          <w:numId w:val="2"/>
        </w:numPr>
        <w:rPr>
          <w:bCs/>
          <w:sz w:val="22"/>
          <w:szCs w:val="22"/>
        </w:rPr>
      </w:pPr>
      <w:r w:rsidRPr="008276B4">
        <w:rPr>
          <w:bCs/>
          <w:sz w:val="22"/>
          <w:szCs w:val="22"/>
        </w:rPr>
        <w:t>Distribution analysis was carried out for flux, neutron scattering, and fission phenomena to investigate the behavior of these parameters in both fuel element models.</w:t>
      </w:r>
    </w:p>
    <w:p w14:paraId="0F228741" w14:textId="3AAB7F76" w:rsidR="008276B4" w:rsidRDefault="008276B4" w:rsidP="008276B4">
      <w:pPr>
        <w:pStyle w:val="BodyTextIndent"/>
        <w:rPr>
          <w:bCs/>
          <w:sz w:val="22"/>
          <w:szCs w:val="22"/>
        </w:rPr>
      </w:pPr>
    </w:p>
    <w:p w14:paraId="4F90FE50" w14:textId="4DAFD5B2" w:rsidR="00F52391" w:rsidRDefault="00F52391" w:rsidP="00CE2B50">
      <w:pPr>
        <w:pStyle w:val="BodyTextIndent"/>
        <w:ind w:firstLine="0"/>
        <w:rPr>
          <w:b/>
          <w:i/>
          <w:iCs/>
          <w:sz w:val="22"/>
          <w:szCs w:val="22"/>
        </w:rPr>
      </w:pPr>
      <w:r w:rsidRPr="00F52391">
        <w:rPr>
          <w:b/>
          <w:i/>
          <w:iCs/>
          <w:sz w:val="22"/>
          <w:szCs w:val="22"/>
        </w:rPr>
        <w:t>II.</w:t>
      </w:r>
      <w:r w:rsidR="00CE2B50">
        <w:rPr>
          <w:b/>
          <w:i/>
          <w:iCs/>
          <w:sz w:val="22"/>
          <w:szCs w:val="22"/>
        </w:rPr>
        <w:t>D</w:t>
      </w:r>
      <w:r w:rsidRPr="00F52391">
        <w:rPr>
          <w:b/>
          <w:i/>
          <w:iCs/>
          <w:sz w:val="22"/>
          <w:szCs w:val="22"/>
        </w:rPr>
        <w:t xml:space="preserve">. </w:t>
      </w:r>
      <w:r w:rsidR="00CE2B50">
        <w:rPr>
          <w:b/>
          <w:i/>
          <w:iCs/>
          <w:sz w:val="22"/>
          <w:szCs w:val="22"/>
        </w:rPr>
        <w:t>Data analysis</w:t>
      </w:r>
    </w:p>
    <w:p w14:paraId="5EA3A6D2" w14:textId="77777777" w:rsidR="00B11866" w:rsidRPr="00B11866" w:rsidRDefault="00B11866" w:rsidP="00B11866">
      <w:pPr>
        <w:pStyle w:val="BodyTextIndent"/>
        <w:ind w:firstLine="0"/>
        <w:rPr>
          <w:b/>
          <w:sz w:val="22"/>
          <w:szCs w:val="22"/>
        </w:rPr>
      </w:pPr>
    </w:p>
    <w:p w14:paraId="3CE467EE" w14:textId="4CB95333" w:rsidR="00CE2B50" w:rsidRDefault="00CE2B50">
      <w:pPr>
        <w:pStyle w:val="BodyTextIndent"/>
        <w:rPr>
          <w:bCs/>
          <w:sz w:val="22"/>
          <w:szCs w:val="22"/>
        </w:rPr>
      </w:pPr>
      <w:r w:rsidRPr="00CE2B50">
        <w:rPr>
          <w:bCs/>
          <w:sz w:val="22"/>
          <w:szCs w:val="22"/>
        </w:rPr>
        <w:t xml:space="preserve">In the comparative analysis, the difference </w:t>
      </w:r>
      <m:oMath>
        <m:r>
          <m:rPr>
            <m:sty m:val="p"/>
          </m:rPr>
          <w:rPr>
            <w:rFonts w:ascii="Cambria Math" w:hAnsi="Cambria Math"/>
            <w:sz w:val="22"/>
            <w:szCs w:val="22"/>
          </w:rPr>
          <m:t>∆</m:t>
        </m:r>
        <m:r>
          <w:rPr>
            <w:rFonts w:ascii="Cambria Math" w:hAnsi="Cambria Math"/>
            <w:sz w:val="22"/>
            <w:szCs w:val="22"/>
          </w:rPr>
          <m:t>k</m:t>
        </m:r>
      </m:oMath>
      <w:r w:rsidRPr="00CE2B50">
        <w:rPr>
          <w:bCs/>
          <w:sz w:val="22"/>
          <w:szCs w:val="22"/>
        </w:rPr>
        <w:t xml:space="preserve"> in the multiplication factor and its uncertainty </w:t>
      </w:r>
      <m:oMath>
        <m:sSub>
          <m:sSubPr>
            <m:ctrlPr>
              <w:rPr>
                <w:rFonts w:ascii="Cambria Math" w:hAnsi="Cambria Math"/>
                <w:bCs/>
                <w:sz w:val="22"/>
                <w:szCs w:val="22"/>
              </w:rPr>
            </m:ctrlPr>
          </m:sSubPr>
          <m:e>
            <m:r>
              <w:rPr>
                <w:rFonts w:ascii="Cambria Math" w:hAnsi="Cambria Math"/>
                <w:sz w:val="22"/>
                <w:szCs w:val="22"/>
              </w:rPr>
              <m:t>σ</m:t>
            </m:r>
          </m:e>
          <m:sub>
            <m:r>
              <m:rPr>
                <m:sty m:val="p"/>
              </m:rPr>
              <w:rPr>
                <w:rFonts w:ascii="Cambria Math" w:hAnsi="Cambria Math"/>
                <w:sz w:val="22"/>
                <w:szCs w:val="22"/>
              </w:rPr>
              <m:t>∆</m:t>
            </m:r>
            <m:r>
              <w:rPr>
                <w:rFonts w:ascii="Cambria Math" w:hAnsi="Cambria Math"/>
                <w:sz w:val="22"/>
                <w:szCs w:val="22"/>
              </w:rPr>
              <m:t>k</m:t>
            </m:r>
          </m:sub>
        </m:sSub>
      </m:oMath>
      <w:r w:rsidRPr="00CE2B50">
        <w:rPr>
          <w:bCs/>
          <w:sz w:val="22"/>
          <w:szCs w:val="22"/>
        </w:rPr>
        <w:t xml:space="preserve"> were evaluated using Equations (</w:t>
      </w:r>
      <w:r w:rsidR="00C94898">
        <w:rPr>
          <w:bCs/>
          <w:sz w:val="22"/>
          <w:szCs w:val="22"/>
        </w:rPr>
        <w:t>4</w:t>
      </w:r>
      <w:r w:rsidRPr="00CE2B50">
        <w:rPr>
          <w:bCs/>
          <w:sz w:val="22"/>
          <w:szCs w:val="22"/>
        </w:rPr>
        <w:t>) and (</w:t>
      </w:r>
      <w:r w:rsidR="00C94898">
        <w:rPr>
          <w:bCs/>
          <w:sz w:val="22"/>
          <w:szCs w:val="22"/>
        </w:rPr>
        <w:t>5</w:t>
      </w:r>
      <w:r w:rsidRPr="00CE2B50">
        <w:rPr>
          <w:bCs/>
          <w:sz w:val="22"/>
          <w:szCs w:val="22"/>
        </w:rPr>
        <w:t xml:space="preserve">), respectively. The bias </w:t>
      </w:r>
      <m:oMath>
        <m:r>
          <m:rPr>
            <m:sty m:val="p"/>
          </m:rPr>
          <w:rPr>
            <w:rFonts w:ascii="Cambria Math" w:hAnsi="Cambria Math"/>
            <w:sz w:val="22"/>
            <w:szCs w:val="22"/>
          </w:rPr>
          <m:t>∆</m:t>
        </m:r>
        <m:r>
          <w:rPr>
            <w:rFonts w:ascii="Cambria Math" w:hAnsi="Cambria Math"/>
            <w:sz w:val="22"/>
            <w:szCs w:val="22"/>
          </w:rPr>
          <m:t>k</m:t>
        </m:r>
      </m:oMath>
      <w:r w:rsidRPr="00CE2B50">
        <w:rPr>
          <w:bCs/>
          <w:sz w:val="22"/>
          <w:szCs w:val="22"/>
        </w:rPr>
        <w:t xml:space="preserve"> was expressed in percent mille (pcm), as per established methodology [1</w:t>
      </w:r>
      <w:r w:rsidR="00DB67A4">
        <w:rPr>
          <w:bCs/>
          <w:sz w:val="22"/>
          <w:szCs w:val="22"/>
        </w:rPr>
        <w:t>2</w:t>
      </w:r>
      <w:r w:rsidRPr="00CE2B50">
        <w:rPr>
          <w:bCs/>
          <w:sz w:val="22"/>
          <w:szCs w:val="22"/>
        </w:rPr>
        <w:t>]:</w:t>
      </w:r>
    </w:p>
    <w:p w14:paraId="477D235C" w14:textId="77777777" w:rsidR="000B2753" w:rsidRPr="00CE2B50" w:rsidRDefault="000B2753" w:rsidP="00B11866">
      <w:pPr>
        <w:pStyle w:val="BodyTextIndent"/>
        <w:rPr>
          <w:bCs/>
          <w:sz w:val="22"/>
          <w:szCs w:val="22"/>
        </w:rPr>
      </w:pPr>
    </w:p>
    <w:p w14:paraId="2173DDD8" w14:textId="16A43CF6" w:rsidR="00CE2B50" w:rsidRDefault="00CE2B50">
      <w:pPr>
        <w:pStyle w:val="BodyTextIndent"/>
        <w:ind w:firstLine="0"/>
        <w:rPr>
          <w:bCs/>
          <w:sz w:val="22"/>
          <w:szCs w:val="22"/>
        </w:rPr>
      </w:pPr>
      <m:oMath>
        <m:r>
          <m:rPr>
            <m:sty m:val="p"/>
          </m:rPr>
          <w:rPr>
            <w:rFonts w:ascii="Cambria Math" w:hAnsi="Cambria Math"/>
            <w:sz w:val="22"/>
            <w:szCs w:val="22"/>
          </w:rPr>
          <m:t>∆</m:t>
        </m:r>
        <m:r>
          <w:rPr>
            <w:rFonts w:ascii="Cambria Math" w:hAnsi="Cambria Math"/>
            <w:sz w:val="22"/>
            <w:szCs w:val="22"/>
          </w:rPr>
          <m:t>k</m:t>
        </m:r>
        <m:r>
          <m:rPr>
            <m:sty m:val="p"/>
          </m:rPr>
          <w:rPr>
            <w:rFonts w:ascii="Cambria Math" w:hAnsi="Cambria Math"/>
            <w:sz w:val="22"/>
            <w:szCs w:val="22"/>
          </w:rPr>
          <m:t>=</m:t>
        </m:r>
        <m:d>
          <m:dPr>
            <m:ctrlPr>
              <w:rPr>
                <w:rFonts w:ascii="Cambria Math" w:hAnsi="Cambria Math"/>
                <w:bCs/>
                <w:sz w:val="22"/>
                <w:szCs w:val="22"/>
              </w:rPr>
            </m:ctrlPr>
          </m:dPr>
          <m:e>
            <m:sSub>
              <m:sSubPr>
                <m:ctrlPr>
                  <w:rPr>
                    <w:rFonts w:ascii="Cambria Math" w:hAnsi="Cambria Math"/>
                    <w:bCs/>
                    <w:sz w:val="22"/>
                    <w:szCs w:val="22"/>
                  </w:rPr>
                </m:ctrlPr>
              </m:sSubPr>
              <m:e>
                <m:r>
                  <w:rPr>
                    <w:rFonts w:ascii="Cambria Math" w:hAnsi="Cambria Math"/>
                    <w:sz w:val="22"/>
                    <w:szCs w:val="22"/>
                  </w:rPr>
                  <m:t>k</m:t>
                </m:r>
              </m:e>
              <m:sub>
                <m:r>
                  <w:rPr>
                    <w:rFonts w:ascii="Cambria Math" w:hAnsi="Cambria Math"/>
                    <w:sz w:val="22"/>
                    <w:szCs w:val="22"/>
                  </w:rPr>
                  <m:t>inf</m:t>
                </m:r>
              </m:sub>
            </m:sSub>
            <m:r>
              <m:rPr>
                <m:sty m:val="p"/>
              </m:rPr>
              <w:rPr>
                <w:rFonts w:ascii="Cambria Math" w:hAnsi="Cambria Math"/>
                <w:sz w:val="22"/>
                <w:szCs w:val="22"/>
              </w:rPr>
              <m:t>-</m:t>
            </m:r>
            <m:sSubSup>
              <m:sSubSupPr>
                <m:ctrlPr>
                  <w:rPr>
                    <w:rFonts w:ascii="Cambria Math" w:hAnsi="Cambria Math"/>
                    <w:bCs/>
                    <w:sz w:val="22"/>
                    <w:szCs w:val="22"/>
                  </w:rPr>
                </m:ctrlPr>
              </m:sSubSupPr>
              <m:e>
                <m:r>
                  <m:rPr>
                    <m:sty m:val="p"/>
                  </m:rPr>
                  <w:rPr>
                    <w:rFonts w:ascii="Cambria Math" w:hAnsi="Cambria Math"/>
                    <w:sz w:val="22"/>
                    <w:szCs w:val="22"/>
                  </w:rPr>
                  <m:t xml:space="preserve"> </m:t>
                </m:r>
                <m:r>
                  <w:rPr>
                    <w:rFonts w:ascii="Cambria Math" w:hAnsi="Cambria Math"/>
                    <w:sz w:val="22"/>
                    <w:szCs w:val="22"/>
                  </w:rPr>
                  <m:t>k</m:t>
                </m:r>
              </m:e>
              <m:sub>
                <m:r>
                  <w:rPr>
                    <w:rFonts w:ascii="Cambria Math" w:hAnsi="Cambria Math"/>
                    <w:sz w:val="22"/>
                    <w:szCs w:val="22"/>
                  </w:rPr>
                  <m:t>inf</m:t>
                </m:r>
              </m:sub>
              <m:sup>
                <m:r>
                  <m:rPr>
                    <m:sty m:val="p"/>
                  </m:rPr>
                  <w:rPr>
                    <w:rFonts w:ascii="Cambria Math" w:hAnsi="Cambria Math"/>
                    <w:sz w:val="22"/>
                    <w:szCs w:val="22"/>
                  </w:rPr>
                  <m:t>*</m:t>
                </m:r>
              </m:sup>
            </m:sSubSup>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0B2753">
        <w:rPr>
          <w:bCs/>
          <w:sz w:val="22"/>
          <w:szCs w:val="22"/>
        </w:rPr>
        <w:tab/>
        <w:t xml:space="preserve"> (</w:t>
      </w:r>
      <w:r w:rsidR="000B2753">
        <w:rPr>
          <w:bCs/>
          <w:sz w:val="22"/>
          <w:szCs w:val="22"/>
        </w:rPr>
        <w:t>4</w:t>
      </w:r>
      <w:r w:rsidRPr="000B2753">
        <w:rPr>
          <w:bCs/>
          <w:sz w:val="22"/>
          <w:szCs w:val="22"/>
        </w:rPr>
        <w:t>)</w:t>
      </w:r>
    </w:p>
    <w:p w14:paraId="08C8911F" w14:textId="77777777" w:rsidR="000B2753" w:rsidRPr="000B2753" w:rsidRDefault="000B2753" w:rsidP="000B2753">
      <w:pPr>
        <w:pStyle w:val="BodyTextIndent"/>
        <w:ind w:firstLine="0"/>
        <w:rPr>
          <w:bCs/>
          <w:sz w:val="22"/>
          <w:szCs w:val="22"/>
        </w:rPr>
      </w:pPr>
    </w:p>
    <w:p w14:paraId="75126CC6" w14:textId="6F703BF9" w:rsidR="00CE2B50" w:rsidRDefault="00057C1D">
      <w:pPr>
        <w:pStyle w:val="BodyTextIndent"/>
        <w:ind w:firstLine="0"/>
        <w:rPr>
          <w:bCs/>
          <w:sz w:val="22"/>
          <w:szCs w:val="22"/>
        </w:rPr>
      </w:pPr>
      <m:oMath>
        <m:sSub>
          <m:sSubPr>
            <m:ctrlPr>
              <w:rPr>
                <w:rFonts w:ascii="Cambria Math" w:hAnsi="Cambria Math"/>
                <w:bCs/>
                <w:sz w:val="22"/>
                <w:szCs w:val="22"/>
              </w:rPr>
            </m:ctrlPr>
          </m:sSubPr>
          <m:e>
            <m:r>
              <w:rPr>
                <w:rFonts w:ascii="Cambria Math" w:hAnsi="Cambria Math"/>
                <w:sz w:val="22"/>
                <w:szCs w:val="22"/>
              </w:rPr>
              <m:t>σ</m:t>
            </m:r>
          </m:e>
          <m:sub>
            <m:r>
              <m:rPr>
                <m:sty m:val="p"/>
              </m:rPr>
              <w:rPr>
                <w:rFonts w:ascii="Cambria Math" w:hAnsi="Cambria Math"/>
                <w:sz w:val="22"/>
                <w:szCs w:val="22"/>
              </w:rPr>
              <m:t>∆</m:t>
            </m:r>
            <m:r>
              <w:rPr>
                <w:rFonts w:ascii="Cambria Math" w:hAnsi="Cambria Math"/>
                <w:sz w:val="22"/>
                <w:szCs w:val="22"/>
              </w:rPr>
              <m:t>k</m:t>
            </m:r>
          </m:sub>
        </m:sSub>
        <m:r>
          <m:rPr>
            <m:sty m:val="p"/>
          </m:rPr>
          <w:rPr>
            <w:rFonts w:ascii="Cambria Math" w:hAnsi="Cambria Math"/>
            <w:sz w:val="22"/>
            <w:szCs w:val="22"/>
          </w:rPr>
          <m:t>=</m:t>
        </m:r>
        <m:rad>
          <m:radPr>
            <m:degHide m:val="1"/>
            <m:ctrlPr>
              <w:rPr>
                <w:rFonts w:ascii="Cambria Math" w:hAnsi="Cambria Math"/>
                <w:bCs/>
                <w:sz w:val="22"/>
                <w:szCs w:val="22"/>
              </w:rPr>
            </m:ctrlPr>
          </m:radPr>
          <m:deg/>
          <m:e>
            <m:d>
              <m:dPr>
                <m:ctrlPr>
                  <w:rPr>
                    <w:rFonts w:ascii="Cambria Math" w:hAnsi="Cambria Math"/>
                    <w:bCs/>
                    <w:sz w:val="22"/>
                    <w:szCs w:val="22"/>
                  </w:rPr>
                </m:ctrlPr>
              </m:dPr>
              <m:e>
                <m:sSubSup>
                  <m:sSubSupPr>
                    <m:ctrlPr>
                      <w:rPr>
                        <w:rFonts w:ascii="Cambria Math" w:hAnsi="Cambria Math"/>
                        <w:bCs/>
                        <w:sz w:val="22"/>
                        <w:szCs w:val="22"/>
                      </w:rPr>
                    </m:ctrlPr>
                  </m:sSubSupPr>
                  <m:e>
                    <m:r>
                      <w:rPr>
                        <w:rFonts w:ascii="Cambria Math" w:hAnsi="Cambria Math"/>
                        <w:sz w:val="22"/>
                        <w:szCs w:val="22"/>
                      </w:rPr>
                      <m:t>σ</m:t>
                    </m:r>
                  </m:e>
                  <m:sub>
                    <m:sSub>
                      <m:sSubPr>
                        <m:ctrlPr>
                          <w:rPr>
                            <w:rFonts w:ascii="Cambria Math" w:hAnsi="Cambria Math"/>
                            <w:bCs/>
                            <w:sz w:val="22"/>
                            <w:szCs w:val="22"/>
                          </w:rPr>
                        </m:ctrlPr>
                      </m:sSubPr>
                      <m:e>
                        <m:r>
                          <w:rPr>
                            <w:rFonts w:ascii="Cambria Math" w:hAnsi="Cambria Math"/>
                            <w:sz w:val="22"/>
                            <w:szCs w:val="22"/>
                          </w:rPr>
                          <m:t>k</m:t>
                        </m:r>
                      </m:e>
                      <m:sub>
                        <m:r>
                          <w:rPr>
                            <w:rFonts w:ascii="Cambria Math" w:hAnsi="Cambria Math"/>
                            <w:sz w:val="22"/>
                            <w:szCs w:val="22"/>
                          </w:rPr>
                          <m:t>inf</m:t>
                        </m:r>
                      </m:sub>
                    </m:sSub>
                  </m:sub>
                  <m:sup>
                    <m:r>
                      <m:rPr>
                        <m:sty m:val="p"/>
                      </m:rPr>
                      <w:rPr>
                        <w:rFonts w:ascii="Cambria Math" w:hAnsi="Cambria Math"/>
                        <w:sz w:val="22"/>
                        <w:szCs w:val="22"/>
                      </w:rPr>
                      <m:t>2</m:t>
                    </m:r>
                  </m:sup>
                </m:sSubSup>
                <m:r>
                  <m:rPr>
                    <m:sty m:val="p"/>
                  </m:rPr>
                  <w:rPr>
                    <w:rFonts w:ascii="Cambria Math" w:hAnsi="Cambria Math"/>
                    <w:sz w:val="22"/>
                    <w:szCs w:val="22"/>
                  </w:rPr>
                  <m:t>+</m:t>
                </m:r>
                <m:sSup>
                  <m:sSupPr>
                    <m:ctrlPr>
                      <w:rPr>
                        <w:rFonts w:ascii="Cambria Math" w:hAnsi="Cambria Math"/>
                        <w:bCs/>
                        <w:sz w:val="22"/>
                        <w:szCs w:val="22"/>
                      </w:rPr>
                    </m:ctrlPr>
                  </m:sSupPr>
                  <m:e>
                    <m:sSubSup>
                      <m:sSubSupPr>
                        <m:ctrlPr>
                          <w:rPr>
                            <w:rFonts w:ascii="Cambria Math" w:hAnsi="Cambria Math"/>
                            <w:bCs/>
                            <w:sz w:val="22"/>
                            <w:szCs w:val="22"/>
                          </w:rPr>
                        </m:ctrlPr>
                      </m:sSubSupPr>
                      <m:e>
                        <m:r>
                          <w:rPr>
                            <w:rFonts w:ascii="Cambria Math" w:hAnsi="Cambria Math"/>
                            <w:sz w:val="22"/>
                            <w:szCs w:val="22"/>
                          </w:rPr>
                          <m:t>σ</m:t>
                        </m:r>
                      </m:e>
                      <m:sub>
                        <m:sSub>
                          <m:sSubPr>
                            <m:ctrlPr>
                              <w:rPr>
                                <w:rFonts w:ascii="Cambria Math" w:hAnsi="Cambria Math"/>
                                <w:bCs/>
                                <w:sz w:val="22"/>
                                <w:szCs w:val="22"/>
                              </w:rPr>
                            </m:ctrlPr>
                          </m:sSubPr>
                          <m:e>
                            <m:r>
                              <w:rPr>
                                <w:rFonts w:ascii="Cambria Math" w:hAnsi="Cambria Math"/>
                                <w:sz w:val="22"/>
                                <w:szCs w:val="22"/>
                              </w:rPr>
                              <m:t>k</m:t>
                            </m:r>
                          </m:e>
                          <m:sub>
                            <m:r>
                              <w:rPr>
                                <w:rFonts w:ascii="Cambria Math" w:hAnsi="Cambria Math"/>
                                <w:sz w:val="22"/>
                                <w:szCs w:val="22"/>
                              </w:rPr>
                              <m:t>inf</m:t>
                            </m:r>
                          </m:sub>
                        </m:sSub>
                      </m:sub>
                      <m:sup>
                        <m:r>
                          <m:rPr>
                            <m:sty m:val="p"/>
                          </m:rPr>
                          <w:rPr>
                            <w:rFonts w:ascii="Cambria Math" w:hAnsi="Cambria Math"/>
                            <w:sz w:val="22"/>
                            <w:szCs w:val="22"/>
                          </w:rPr>
                          <m:t>*</m:t>
                        </m:r>
                      </m:sup>
                    </m:sSubSup>
                  </m:e>
                  <m:sup>
                    <m:r>
                      <m:rPr>
                        <m:sty m:val="p"/>
                      </m:rPr>
                      <w:rPr>
                        <w:rFonts w:ascii="Cambria Math" w:hAnsi="Cambria Math"/>
                        <w:sz w:val="22"/>
                        <w:szCs w:val="22"/>
                      </w:rPr>
                      <m:t>2</m:t>
                    </m:r>
                  </m:sup>
                </m:sSup>
              </m:e>
            </m:d>
          </m:e>
        </m:rad>
        <m:r>
          <m:rPr>
            <m:sty m:val="p"/>
          </m:rPr>
          <w:rPr>
            <w:rFonts w:ascii="Cambria Math" w:hAnsi="Cambria Math"/>
            <w:sz w:val="22"/>
            <w:szCs w:val="22"/>
          </w:rPr>
          <m:t xml:space="preserve"> ×</m:t>
        </m:r>
        <m:sSup>
          <m:sSupPr>
            <m:ctrlPr>
              <w:rPr>
                <w:rFonts w:ascii="Cambria Math" w:hAnsi="Cambria Math"/>
                <w:bCs/>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00CE2B50" w:rsidRPr="000B2753">
        <w:rPr>
          <w:bCs/>
          <w:sz w:val="22"/>
          <w:szCs w:val="22"/>
        </w:rPr>
        <w:tab/>
        <w:t xml:space="preserve"> (</w:t>
      </w:r>
      <w:r w:rsidR="000B2753">
        <w:rPr>
          <w:bCs/>
          <w:sz w:val="22"/>
          <w:szCs w:val="22"/>
        </w:rPr>
        <w:t>5</w:t>
      </w:r>
      <w:r w:rsidR="00CE2B50" w:rsidRPr="000B2753">
        <w:rPr>
          <w:bCs/>
          <w:sz w:val="22"/>
          <w:szCs w:val="22"/>
        </w:rPr>
        <w:t>)</w:t>
      </w:r>
    </w:p>
    <w:p w14:paraId="288ED20B" w14:textId="77777777" w:rsidR="000B2753" w:rsidRPr="00CE2B50" w:rsidRDefault="000B2753" w:rsidP="000B2753">
      <w:pPr>
        <w:pStyle w:val="BodyTextIndent"/>
        <w:ind w:firstLine="0"/>
        <w:rPr>
          <w:bCs/>
          <w:sz w:val="22"/>
          <w:szCs w:val="22"/>
        </w:rPr>
      </w:pPr>
    </w:p>
    <w:p w14:paraId="5EE3E8CE" w14:textId="770CE249" w:rsidR="00CE2B50" w:rsidRPr="00CE2B50" w:rsidRDefault="00CE2B50">
      <w:pPr>
        <w:pStyle w:val="BodyTextIndent"/>
        <w:rPr>
          <w:bCs/>
          <w:sz w:val="22"/>
          <w:szCs w:val="22"/>
        </w:rPr>
      </w:pPr>
      <w:r w:rsidRPr="00CE2B50">
        <w:rPr>
          <w:bCs/>
          <w:sz w:val="22"/>
          <w:szCs w:val="22"/>
        </w:rPr>
        <w:t>where</w:t>
      </w:r>
      <m:oMath>
        <m:r>
          <m:rPr>
            <m:sty m:val="p"/>
          </m:rPr>
          <w:rPr>
            <w:rFonts w:ascii="Cambria Math" w:hAnsi="Cambria Math"/>
            <w:sz w:val="22"/>
            <w:szCs w:val="22"/>
          </w:rPr>
          <m:t xml:space="preserve"> </m:t>
        </m:r>
        <m:sSub>
          <m:sSubPr>
            <m:ctrlPr>
              <w:rPr>
                <w:rFonts w:ascii="Cambria Math" w:hAnsi="Cambria Math"/>
                <w:bCs/>
                <w:sz w:val="22"/>
                <w:szCs w:val="22"/>
              </w:rPr>
            </m:ctrlPr>
          </m:sSubPr>
          <m:e>
            <m:r>
              <w:rPr>
                <w:rFonts w:ascii="Cambria Math" w:hAnsi="Cambria Math"/>
                <w:sz w:val="22"/>
                <w:szCs w:val="22"/>
              </w:rPr>
              <m:t>k</m:t>
            </m:r>
          </m:e>
          <m:sub>
            <m:r>
              <w:rPr>
                <w:rFonts w:ascii="Cambria Math" w:hAnsi="Cambria Math"/>
                <w:sz w:val="22"/>
                <w:szCs w:val="22"/>
              </w:rPr>
              <m:t>inf</m:t>
            </m:r>
          </m:sub>
        </m:sSub>
      </m:oMath>
      <w:r w:rsidRPr="00CE2B50">
        <w:rPr>
          <w:bCs/>
          <w:sz w:val="22"/>
          <w:szCs w:val="22"/>
        </w:rPr>
        <w:t xml:space="preserve"> and </w:t>
      </w:r>
      <m:oMath>
        <m:sSub>
          <m:sSubPr>
            <m:ctrlPr>
              <w:rPr>
                <w:rFonts w:ascii="Cambria Math" w:hAnsi="Cambria Math"/>
                <w:bCs/>
                <w:sz w:val="22"/>
                <w:szCs w:val="22"/>
              </w:rPr>
            </m:ctrlPr>
          </m:sSubPr>
          <m:e>
            <m:r>
              <w:rPr>
                <w:rFonts w:ascii="Cambria Math" w:hAnsi="Cambria Math"/>
                <w:sz w:val="22"/>
                <w:szCs w:val="22"/>
              </w:rPr>
              <m:t>σ</m:t>
            </m:r>
          </m:e>
          <m:sub>
            <m:sSub>
              <m:sSubPr>
                <m:ctrlPr>
                  <w:rPr>
                    <w:rFonts w:ascii="Cambria Math" w:hAnsi="Cambria Math"/>
                    <w:bCs/>
                    <w:sz w:val="22"/>
                    <w:szCs w:val="22"/>
                  </w:rPr>
                </m:ctrlPr>
              </m:sSubPr>
              <m:e>
                <m:r>
                  <w:rPr>
                    <w:rFonts w:ascii="Cambria Math" w:hAnsi="Cambria Math"/>
                    <w:sz w:val="22"/>
                    <w:szCs w:val="22"/>
                  </w:rPr>
                  <m:t>k</m:t>
                </m:r>
              </m:e>
              <m:sub>
                <m:r>
                  <w:rPr>
                    <w:rFonts w:ascii="Cambria Math" w:hAnsi="Cambria Math"/>
                    <w:sz w:val="22"/>
                    <w:szCs w:val="22"/>
                  </w:rPr>
                  <m:t>inf</m:t>
                </m:r>
              </m:sub>
            </m:sSub>
          </m:sub>
        </m:sSub>
      </m:oMath>
      <w:r w:rsidRPr="00CE2B50">
        <w:rPr>
          <w:bCs/>
          <w:sz w:val="22"/>
          <w:szCs w:val="22"/>
        </w:rPr>
        <w:t xml:space="preserve"> are the determined multiplication factor and its uncertainty, respectively, while </w:t>
      </w:r>
      <m:oMath>
        <m:sSubSup>
          <m:sSubSupPr>
            <m:ctrlPr>
              <w:rPr>
                <w:rFonts w:ascii="Cambria Math" w:hAnsi="Cambria Math"/>
                <w:bCs/>
                <w:sz w:val="22"/>
                <w:szCs w:val="22"/>
              </w:rPr>
            </m:ctrlPr>
          </m:sSubSupPr>
          <m:e>
            <m:r>
              <m:rPr>
                <m:sty m:val="p"/>
              </m:rPr>
              <w:rPr>
                <w:rFonts w:ascii="Cambria Math" w:hAnsi="Cambria Math"/>
                <w:sz w:val="22"/>
                <w:szCs w:val="22"/>
              </w:rPr>
              <m:t xml:space="preserve"> </m:t>
            </m:r>
            <m:r>
              <w:rPr>
                <w:rFonts w:ascii="Cambria Math" w:hAnsi="Cambria Math"/>
                <w:sz w:val="22"/>
                <w:szCs w:val="22"/>
              </w:rPr>
              <m:t>k</m:t>
            </m:r>
          </m:e>
          <m:sub>
            <m:r>
              <w:rPr>
                <w:rFonts w:ascii="Cambria Math" w:hAnsi="Cambria Math"/>
                <w:sz w:val="22"/>
                <w:szCs w:val="22"/>
              </w:rPr>
              <m:t>inf</m:t>
            </m:r>
          </m:sub>
          <m:sup>
            <m:r>
              <m:rPr>
                <m:sty m:val="p"/>
              </m:rPr>
              <w:rPr>
                <w:rFonts w:ascii="Cambria Math" w:hAnsi="Cambria Math"/>
                <w:sz w:val="22"/>
                <w:szCs w:val="22"/>
              </w:rPr>
              <m:t>*</m:t>
            </m:r>
          </m:sup>
        </m:sSubSup>
      </m:oMath>
      <w:r w:rsidRPr="00CE2B50">
        <w:rPr>
          <w:bCs/>
          <w:sz w:val="22"/>
          <w:szCs w:val="22"/>
        </w:rPr>
        <w:t xml:space="preserve"> and </w:t>
      </w:r>
      <m:oMath>
        <m:sSubSup>
          <m:sSubSupPr>
            <m:ctrlPr>
              <w:rPr>
                <w:rFonts w:ascii="Cambria Math" w:hAnsi="Cambria Math"/>
                <w:bCs/>
                <w:sz w:val="22"/>
                <w:szCs w:val="22"/>
              </w:rPr>
            </m:ctrlPr>
          </m:sSubSupPr>
          <m:e>
            <m:r>
              <w:rPr>
                <w:rFonts w:ascii="Cambria Math" w:hAnsi="Cambria Math"/>
                <w:sz w:val="22"/>
                <w:szCs w:val="22"/>
              </w:rPr>
              <m:t>σ</m:t>
            </m:r>
          </m:e>
          <m:sub>
            <m:sSub>
              <m:sSubPr>
                <m:ctrlPr>
                  <w:rPr>
                    <w:rFonts w:ascii="Cambria Math" w:hAnsi="Cambria Math"/>
                    <w:bCs/>
                    <w:sz w:val="22"/>
                    <w:szCs w:val="22"/>
                  </w:rPr>
                </m:ctrlPr>
              </m:sSubPr>
              <m:e>
                <m:r>
                  <w:rPr>
                    <w:rFonts w:ascii="Cambria Math" w:hAnsi="Cambria Math"/>
                    <w:sz w:val="22"/>
                    <w:szCs w:val="22"/>
                  </w:rPr>
                  <m:t>k</m:t>
                </m:r>
              </m:e>
              <m:sub>
                <m:r>
                  <w:rPr>
                    <w:rFonts w:ascii="Cambria Math" w:hAnsi="Cambria Math"/>
                    <w:sz w:val="22"/>
                    <w:szCs w:val="22"/>
                  </w:rPr>
                  <m:t>inf</m:t>
                </m:r>
              </m:sub>
            </m:sSub>
          </m:sub>
          <m:sup>
            <m:r>
              <m:rPr>
                <m:sty m:val="p"/>
              </m:rPr>
              <w:rPr>
                <w:rFonts w:ascii="Cambria Math" w:hAnsi="Cambria Math"/>
                <w:sz w:val="22"/>
                <w:szCs w:val="22"/>
              </w:rPr>
              <m:t>*</m:t>
            </m:r>
          </m:sup>
        </m:sSubSup>
      </m:oMath>
      <w:r w:rsidRPr="00CE2B50">
        <w:rPr>
          <w:bCs/>
          <w:sz w:val="22"/>
          <w:szCs w:val="22"/>
        </w:rPr>
        <w:t xml:space="preserve"> are the reference multiplication factor and its uncertainty, respectively.</w:t>
      </w:r>
    </w:p>
    <w:p w14:paraId="686710DB" w14:textId="72E2287B" w:rsidR="00CE2B50" w:rsidRDefault="00CE2B50" w:rsidP="00DB67A4">
      <w:pPr>
        <w:pStyle w:val="BodyTextIndent"/>
        <w:rPr>
          <w:bCs/>
          <w:sz w:val="22"/>
          <w:szCs w:val="22"/>
        </w:rPr>
      </w:pPr>
      <w:r w:rsidRPr="00CE2B50">
        <w:rPr>
          <w:bCs/>
          <w:sz w:val="22"/>
          <w:szCs w:val="22"/>
        </w:rPr>
        <w:t>In addition, OpenMC incorporates a stochastic method for determining volumes of cells, materials, and universes. This process involves overlaying a bounding box, sampling points from within the box, and assessing the fraction of points within the desired domain. The advantage of using this stochastic approach, as opposed to equally-spaced points, lies in its ability to provide reliable error estimates for each stochastic quantity. This stochastic volume determination capability enhances the accuracy and precision of the simulations conducted within OpenMC [</w:t>
      </w:r>
      <w:r w:rsidR="00DB67A4">
        <w:rPr>
          <w:bCs/>
          <w:sz w:val="22"/>
          <w:szCs w:val="22"/>
        </w:rPr>
        <w:t>11</w:t>
      </w:r>
      <w:r w:rsidRPr="00CE2B50">
        <w:rPr>
          <w:bCs/>
          <w:sz w:val="22"/>
          <w:szCs w:val="22"/>
        </w:rPr>
        <w:t>].</w:t>
      </w:r>
    </w:p>
    <w:p w14:paraId="5A674F51" w14:textId="485AAE64" w:rsidR="00CE2B50" w:rsidRDefault="00CE2B50" w:rsidP="00CE2B50">
      <w:pPr>
        <w:pStyle w:val="BodyTextIndent"/>
        <w:ind w:firstLine="0"/>
        <w:rPr>
          <w:bCs/>
          <w:sz w:val="22"/>
          <w:szCs w:val="22"/>
        </w:rPr>
      </w:pPr>
    </w:p>
    <w:p w14:paraId="42FB7192" w14:textId="2F2F13F4" w:rsidR="00BA6131" w:rsidRPr="00BA6131" w:rsidRDefault="00BA6131" w:rsidP="00BA6131">
      <w:pPr>
        <w:pStyle w:val="BodyTextIndent"/>
        <w:rPr>
          <w:b/>
          <w:bCs/>
          <w:sz w:val="22"/>
          <w:szCs w:val="22"/>
        </w:rPr>
      </w:pPr>
      <w:r w:rsidRPr="00BA6131">
        <w:rPr>
          <w:b/>
          <w:bCs/>
          <w:sz w:val="22"/>
          <w:szCs w:val="22"/>
        </w:rPr>
        <w:t>I</w:t>
      </w:r>
      <w:r>
        <w:rPr>
          <w:b/>
          <w:bCs/>
          <w:sz w:val="22"/>
          <w:szCs w:val="22"/>
        </w:rPr>
        <w:t>V</w:t>
      </w:r>
      <w:r w:rsidRPr="00BA6131">
        <w:rPr>
          <w:b/>
          <w:bCs/>
          <w:sz w:val="22"/>
          <w:szCs w:val="22"/>
        </w:rPr>
        <w:t>. Results and Discussion:</w:t>
      </w:r>
    </w:p>
    <w:p w14:paraId="59E1159B" w14:textId="0BA04285" w:rsidR="00CE2B50" w:rsidRDefault="00CE2B50" w:rsidP="00CE2B50">
      <w:pPr>
        <w:pStyle w:val="BodyTextIndent"/>
        <w:ind w:firstLine="0"/>
        <w:rPr>
          <w:bCs/>
          <w:sz w:val="22"/>
          <w:szCs w:val="22"/>
        </w:rPr>
      </w:pPr>
    </w:p>
    <w:p w14:paraId="1E249B32" w14:textId="6353058F" w:rsidR="00BA6131" w:rsidRDefault="00BA6131">
      <w:pPr>
        <w:pStyle w:val="BodyTextIndent"/>
        <w:rPr>
          <w:bCs/>
          <w:sz w:val="22"/>
          <w:szCs w:val="22"/>
        </w:rPr>
      </w:pPr>
      <w:r w:rsidRPr="00BA6131">
        <w:rPr>
          <w:bCs/>
          <w:sz w:val="22"/>
          <w:szCs w:val="22"/>
        </w:rPr>
        <w:t xml:space="preserve">The simulation results for both the curved and flat fuel element configurations in the 2D bare </w:t>
      </w:r>
      <w:r w:rsidR="00DB67A4">
        <w:rPr>
          <w:bCs/>
          <w:sz w:val="22"/>
          <w:szCs w:val="22"/>
        </w:rPr>
        <w:t>fuel element</w:t>
      </w:r>
      <w:r w:rsidRPr="00BA6131">
        <w:rPr>
          <w:bCs/>
          <w:sz w:val="22"/>
          <w:szCs w:val="22"/>
        </w:rPr>
        <w:t xml:space="preserve"> are presented and discussed in this section. The key parameters analyzed include the k-</w:t>
      </w:r>
      <w:r w:rsidR="00FD1F94">
        <w:rPr>
          <w:bCs/>
          <w:sz w:val="22"/>
          <w:szCs w:val="22"/>
        </w:rPr>
        <w:t>inf</w:t>
      </w:r>
      <w:r w:rsidRPr="00BA6131">
        <w:rPr>
          <w:bCs/>
          <w:sz w:val="22"/>
          <w:szCs w:val="22"/>
        </w:rPr>
        <w:t>, 2D fission distribution, and radial flux distribution.</w:t>
      </w:r>
    </w:p>
    <w:p w14:paraId="750994D9" w14:textId="77777777" w:rsidR="00BA6131" w:rsidRDefault="00BA6131" w:rsidP="00CE2B50">
      <w:pPr>
        <w:pStyle w:val="BodyTextIndent"/>
        <w:ind w:firstLine="0"/>
        <w:rPr>
          <w:bCs/>
          <w:sz w:val="22"/>
          <w:szCs w:val="22"/>
        </w:rPr>
      </w:pPr>
    </w:p>
    <w:p w14:paraId="6C3B86D1" w14:textId="08F7FEC8" w:rsidR="00422F64" w:rsidRPr="00422F64" w:rsidRDefault="00422F64">
      <w:pPr>
        <w:pStyle w:val="BodyTextIndent"/>
        <w:rPr>
          <w:b/>
          <w:bCs/>
          <w:i/>
          <w:iCs/>
          <w:sz w:val="22"/>
          <w:szCs w:val="22"/>
        </w:rPr>
      </w:pPr>
      <w:r w:rsidRPr="00BA6131">
        <w:rPr>
          <w:b/>
          <w:bCs/>
          <w:sz w:val="22"/>
          <w:szCs w:val="22"/>
        </w:rPr>
        <w:t>I</w:t>
      </w:r>
      <w:r>
        <w:rPr>
          <w:b/>
          <w:bCs/>
          <w:sz w:val="22"/>
          <w:szCs w:val="22"/>
        </w:rPr>
        <w:t>V</w:t>
      </w:r>
      <w:r w:rsidRPr="00422F64">
        <w:rPr>
          <w:b/>
          <w:bCs/>
          <w:i/>
          <w:iCs/>
          <w:sz w:val="22"/>
          <w:szCs w:val="22"/>
        </w:rPr>
        <w:t>.</w:t>
      </w:r>
      <w:r>
        <w:rPr>
          <w:b/>
          <w:bCs/>
          <w:i/>
          <w:iCs/>
          <w:sz w:val="22"/>
          <w:szCs w:val="22"/>
        </w:rPr>
        <w:t>A</w:t>
      </w:r>
      <w:r w:rsidRPr="00422F64">
        <w:rPr>
          <w:b/>
          <w:bCs/>
          <w:i/>
          <w:iCs/>
          <w:sz w:val="22"/>
          <w:szCs w:val="22"/>
        </w:rPr>
        <w:t>. K-</w:t>
      </w:r>
      <w:r w:rsidR="00FD1F94">
        <w:rPr>
          <w:b/>
          <w:bCs/>
          <w:i/>
          <w:iCs/>
          <w:sz w:val="22"/>
          <w:szCs w:val="22"/>
        </w:rPr>
        <w:t>Infinity</w:t>
      </w:r>
      <w:r w:rsidRPr="00422F64">
        <w:rPr>
          <w:b/>
          <w:bCs/>
          <w:i/>
          <w:iCs/>
          <w:sz w:val="22"/>
          <w:szCs w:val="22"/>
        </w:rPr>
        <w:t>:</w:t>
      </w:r>
    </w:p>
    <w:p w14:paraId="6DD634AD" w14:textId="18737422" w:rsidR="00CE2B50" w:rsidRDefault="00CE2B50" w:rsidP="00CE2B50">
      <w:pPr>
        <w:pStyle w:val="BodyTextIndent"/>
        <w:ind w:firstLine="0"/>
        <w:rPr>
          <w:bCs/>
          <w:sz w:val="22"/>
          <w:szCs w:val="22"/>
        </w:rPr>
      </w:pPr>
    </w:p>
    <w:p w14:paraId="136809D2" w14:textId="452F3F88" w:rsidR="00422F64" w:rsidRDefault="00422F64">
      <w:pPr>
        <w:pStyle w:val="BodyTextIndent"/>
        <w:rPr>
          <w:bCs/>
          <w:sz w:val="22"/>
          <w:szCs w:val="22"/>
        </w:rPr>
      </w:pPr>
      <w:r w:rsidRPr="00422F64">
        <w:rPr>
          <w:bCs/>
          <w:sz w:val="22"/>
          <w:szCs w:val="22"/>
        </w:rPr>
        <w:t>The k-</w:t>
      </w:r>
      <w:r w:rsidR="00FD1F94">
        <w:rPr>
          <w:bCs/>
          <w:sz w:val="22"/>
          <w:szCs w:val="22"/>
        </w:rPr>
        <w:t>inf</w:t>
      </w:r>
      <w:r w:rsidRPr="00422F64">
        <w:rPr>
          <w:bCs/>
          <w:sz w:val="22"/>
          <w:szCs w:val="22"/>
        </w:rPr>
        <w:t xml:space="preserve">, which represents the multiplication factor characterizing </w:t>
      </w:r>
      <w:r w:rsidR="00FD1F94">
        <w:rPr>
          <w:bCs/>
          <w:sz w:val="22"/>
          <w:szCs w:val="22"/>
        </w:rPr>
        <w:t xml:space="preserve">infinite </w:t>
      </w:r>
      <w:r w:rsidRPr="00422F64">
        <w:rPr>
          <w:bCs/>
          <w:sz w:val="22"/>
          <w:szCs w:val="22"/>
        </w:rPr>
        <w:t>reactor criticality, was obtained for both fuel element models. The results indicate a slight difference in the k-</w:t>
      </w:r>
      <w:r w:rsidR="00FD1F94">
        <w:rPr>
          <w:bCs/>
          <w:sz w:val="22"/>
          <w:szCs w:val="22"/>
        </w:rPr>
        <w:t>inf</w:t>
      </w:r>
      <w:r w:rsidR="00FD1F94" w:rsidRPr="00422F64">
        <w:rPr>
          <w:bCs/>
          <w:sz w:val="22"/>
          <w:szCs w:val="22"/>
        </w:rPr>
        <w:t xml:space="preserve"> </w:t>
      </w:r>
      <w:r w:rsidRPr="00422F64">
        <w:rPr>
          <w:bCs/>
          <w:sz w:val="22"/>
          <w:szCs w:val="22"/>
        </w:rPr>
        <w:t>between the curved and flat configurations.</w:t>
      </w:r>
    </w:p>
    <w:p w14:paraId="4B843A05" w14:textId="77777777" w:rsidR="00422F64" w:rsidRDefault="00422F64" w:rsidP="00422F64">
      <w:pPr>
        <w:pStyle w:val="BodyTextIndent"/>
        <w:ind w:firstLine="0"/>
        <w:rPr>
          <w:bCs/>
          <w:sz w:val="22"/>
          <w:szCs w:val="22"/>
        </w:rPr>
      </w:pPr>
    </w:p>
    <w:p w14:paraId="0AC06B96" w14:textId="00D31FE3" w:rsidR="00422F64" w:rsidRPr="00BB7497" w:rsidRDefault="00422F64">
      <w:pPr>
        <w:pStyle w:val="BodyTextIndent"/>
        <w:jc w:val="left"/>
        <w:rPr>
          <w:i/>
          <w:iCs/>
        </w:rPr>
      </w:pPr>
      <w:r w:rsidRPr="00BB7497">
        <w:rPr>
          <w:i/>
          <w:iCs/>
        </w:rPr>
        <w:t>Table I</w:t>
      </w:r>
      <w:r>
        <w:rPr>
          <w:i/>
          <w:iCs/>
        </w:rPr>
        <w:t>I</w:t>
      </w:r>
      <w:r w:rsidRPr="00BB7497">
        <w:rPr>
          <w:i/>
          <w:iCs/>
        </w:rPr>
        <w:t xml:space="preserve"> </w:t>
      </w:r>
      <w:r w:rsidRPr="00422F64">
        <w:rPr>
          <w:i/>
          <w:iCs/>
        </w:rPr>
        <w:t>k-</w:t>
      </w:r>
      <w:r w:rsidR="00FD1F94">
        <w:rPr>
          <w:i/>
          <w:iCs/>
        </w:rPr>
        <w:t xml:space="preserve">inf  </w:t>
      </w:r>
      <w:r>
        <w:rPr>
          <w:i/>
          <w:iCs/>
        </w:rPr>
        <w:t>for Both Shapes Curved and Flat</w:t>
      </w:r>
    </w:p>
    <w:p w14:paraId="12EC0DF2" w14:textId="77777777" w:rsidR="00422F64" w:rsidRDefault="00422F64" w:rsidP="00DB67A4">
      <w:pPr>
        <w:pStyle w:val="BodyTextIndent"/>
        <w:ind w:firstLine="0"/>
        <w:jc w:val="left"/>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810"/>
        <w:gridCol w:w="270"/>
        <w:gridCol w:w="810"/>
        <w:gridCol w:w="900"/>
        <w:gridCol w:w="450"/>
        <w:gridCol w:w="805"/>
      </w:tblGrid>
      <w:tr w:rsidR="00ED6972" w14:paraId="3D6D9CF7" w14:textId="77777777" w:rsidTr="00ED6972">
        <w:tc>
          <w:tcPr>
            <w:tcW w:w="715" w:type="dxa"/>
            <w:vMerge w:val="restart"/>
            <w:tcBorders>
              <w:right w:val="single" w:sz="4" w:space="0" w:color="auto"/>
            </w:tcBorders>
            <w:vAlign w:val="center"/>
          </w:tcPr>
          <w:p w14:paraId="04DFB617" w14:textId="33DA37AA" w:rsidR="00ED6972" w:rsidRDefault="00ED6972" w:rsidP="00ED6972">
            <w:pPr>
              <w:pStyle w:val="BodyTextIndent"/>
              <w:ind w:firstLine="0"/>
              <w:jc w:val="left"/>
              <w:rPr>
                <w:sz w:val="18"/>
              </w:rPr>
            </w:pPr>
            <w:r>
              <w:rPr>
                <w:sz w:val="18"/>
              </w:rPr>
              <w:t>Model</w:t>
            </w:r>
          </w:p>
        </w:tc>
        <w:tc>
          <w:tcPr>
            <w:tcW w:w="810" w:type="dxa"/>
            <w:tcBorders>
              <w:top w:val="single" w:sz="4" w:space="0" w:color="auto"/>
              <w:left w:val="single" w:sz="4" w:space="0" w:color="auto"/>
              <w:bottom w:val="nil"/>
              <w:right w:val="nil"/>
            </w:tcBorders>
            <w:vAlign w:val="center"/>
          </w:tcPr>
          <w:p w14:paraId="5E14C365" w14:textId="678AC65F" w:rsidR="00ED6972" w:rsidRDefault="00057C1D">
            <w:pPr>
              <w:pStyle w:val="BodyTextIndent"/>
              <w:ind w:firstLine="0"/>
              <w:jc w:val="center"/>
              <w:rPr>
                <w:sz w:val="18"/>
              </w:rPr>
            </w:pPr>
            <m:oMathPara>
              <m:oMath>
                <m:sSub>
                  <m:sSubPr>
                    <m:ctrlPr>
                      <w:rPr>
                        <w:rFonts w:ascii="Cambria Math" w:hAnsi="Cambria Math"/>
                        <w:b/>
                        <w:bCs/>
                        <w:i/>
                        <w:sz w:val="18"/>
                        <w:szCs w:val="18"/>
                      </w:rPr>
                    </m:ctrlPr>
                  </m:sSubPr>
                  <m:e>
                    <m:r>
                      <m:rPr>
                        <m:sty m:val="bi"/>
                      </m:rPr>
                      <w:rPr>
                        <w:rFonts w:ascii="Cambria Math" w:hAnsi="Cambria Math"/>
                        <w:sz w:val="18"/>
                        <w:szCs w:val="18"/>
                      </w:rPr>
                      <m:t>k</m:t>
                    </m:r>
                  </m:e>
                  <m:sub>
                    <m:r>
                      <m:rPr>
                        <m:sty m:val="bi"/>
                      </m:rPr>
                      <w:rPr>
                        <w:rFonts w:ascii="Cambria Math" w:hAnsi="Cambria Math"/>
                        <w:sz w:val="18"/>
                        <w:szCs w:val="18"/>
                      </w:rPr>
                      <m:t>inf</m:t>
                    </m:r>
                  </m:sub>
                </m:sSub>
              </m:oMath>
            </m:oMathPara>
          </w:p>
        </w:tc>
        <w:tc>
          <w:tcPr>
            <w:tcW w:w="270" w:type="dxa"/>
            <w:tcBorders>
              <w:top w:val="single" w:sz="4" w:space="0" w:color="auto"/>
              <w:left w:val="nil"/>
              <w:bottom w:val="nil"/>
              <w:right w:val="nil"/>
            </w:tcBorders>
            <w:vAlign w:val="center"/>
          </w:tcPr>
          <w:p w14:paraId="5D98D627" w14:textId="761F1084" w:rsidR="00ED6972" w:rsidRPr="00BE52AD" w:rsidRDefault="00ED6972" w:rsidP="00ED6972">
            <w:pPr>
              <w:pStyle w:val="BodyTextIndent"/>
              <w:ind w:firstLine="0"/>
              <w:jc w:val="center"/>
              <w:rPr>
                <w:sz w:val="18"/>
                <w:szCs w:val="18"/>
              </w:rPr>
            </w:pPr>
            <m:oMathPara>
              <m:oMath>
                <m:r>
                  <m:rPr>
                    <m:sty m:val="b"/>
                  </m:rPr>
                  <w:rPr>
                    <w:rFonts w:ascii="Cambria Math" w:hAnsi="Cambria Math"/>
                    <w:sz w:val="18"/>
                    <w:szCs w:val="18"/>
                  </w:rPr>
                  <m:t>±</m:t>
                </m:r>
              </m:oMath>
            </m:oMathPara>
          </w:p>
        </w:tc>
        <w:tc>
          <w:tcPr>
            <w:tcW w:w="810" w:type="dxa"/>
            <w:tcBorders>
              <w:top w:val="single" w:sz="4" w:space="0" w:color="auto"/>
              <w:left w:val="nil"/>
              <w:bottom w:val="nil"/>
              <w:right w:val="single" w:sz="4" w:space="0" w:color="auto"/>
            </w:tcBorders>
            <w:vAlign w:val="center"/>
          </w:tcPr>
          <w:p w14:paraId="1559342D" w14:textId="149DF7E2" w:rsidR="00ED6972" w:rsidRDefault="00ED6972" w:rsidP="00ED6972">
            <w:pPr>
              <w:pStyle w:val="BodyTextIndent"/>
              <w:ind w:firstLine="0"/>
              <w:jc w:val="center"/>
              <w:rPr>
                <w:sz w:val="18"/>
              </w:rPr>
            </w:pPr>
            <m:oMathPara>
              <m:oMath>
                <m:r>
                  <m:rPr>
                    <m:sty m:val="bi"/>
                  </m:rPr>
                  <w:rPr>
                    <w:rFonts w:ascii="Cambria Math" w:hAnsi="Cambria Math"/>
                    <w:sz w:val="18"/>
                    <w:szCs w:val="18"/>
                  </w:rPr>
                  <m:t>σ</m:t>
                </m:r>
              </m:oMath>
            </m:oMathPara>
          </w:p>
        </w:tc>
        <w:tc>
          <w:tcPr>
            <w:tcW w:w="900" w:type="dxa"/>
            <w:tcBorders>
              <w:top w:val="single" w:sz="4" w:space="0" w:color="auto"/>
              <w:left w:val="single" w:sz="4" w:space="0" w:color="auto"/>
              <w:bottom w:val="nil"/>
              <w:right w:val="nil"/>
            </w:tcBorders>
            <w:vAlign w:val="center"/>
          </w:tcPr>
          <w:p w14:paraId="6B6ABA6C" w14:textId="45B9A473" w:rsidR="00ED6972" w:rsidRDefault="00057C1D">
            <w:pPr>
              <w:pStyle w:val="BodyTextIndent"/>
              <w:ind w:firstLine="0"/>
              <w:jc w:val="center"/>
              <w:rPr>
                <w:sz w:val="18"/>
              </w:rPr>
            </w:pPr>
            <m:oMathPara>
              <m:oMath>
                <m:sSub>
                  <m:sSubPr>
                    <m:ctrlPr>
                      <w:rPr>
                        <w:rFonts w:ascii="Cambria Math" w:hAnsi="Cambria Math"/>
                        <w:b/>
                        <w:bCs/>
                        <w:i/>
                        <w:sz w:val="18"/>
                        <w:szCs w:val="18"/>
                      </w:rPr>
                    </m:ctrlPr>
                  </m:sSubPr>
                  <m:e>
                    <m:r>
                      <m:rPr>
                        <m:sty m:val="bi"/>
                      </m:rPr>
                      <w:rPr>
                        <w:rFonts w:ascii="Cambria Math" w:hAnsi="Cambria Math"/>
                        <w:sz w:val="18"/>
                        <w:szCs w:val="18"/>
                      </w:rPr>
                      <m:t>k</m:t>
                    </m:r>
                  </m:e>
                  <m:sub>
                    <m:r>
                      <m:rPr>
                        <m:sty m:val="bi"/>
                      </m:rPr>
                      <w:rPr>
                        <w:rFonts w:ascii="Cambria Math" w:hAnsi="Cambria Math"/>
                        <w:sz w:val="18"/>
                        <w:szCs w:val="18"/>
                      </w:rPr>
                      <m:t>inf</m:t>
                    </m:r>
                  </m:sub>
                </m:sSub>
              </m:oMath>
            </m:oMathPara>
          </w:p>
        </w:tc>
        <w:tc>
          <w:tcPr>
            <w:tcW w:w="450" w:type="dxa"/>
            <w:tcBorders>
              <w:top w:val="single" w:sz="4" w:space="0" w:color="auto"/>
              <w:left w:val="nil"/>
              <w:bottom w:val="nil"/>
              <w:right w:val="nil"/>
            </w:tcBorders>
            <w:vAlign w:val="center"/>
          </w:tcPr>
          <w:p w14:paraId="787EB093" w14:textId="7D5ADF00" w:rsidR="00ED6972" w:rsidRPr="00BE52AD" w:rsidRDefault="00ED6972" w:rsidP="00ED6972">
            <w:pPr>
              <w:pStyle w:val="BodyTextIndent"/>
              <w:ind w:firstLine="0"/>
              <w:jc w:val="center"/>
              <w:rPr>
                <w:sz w:val="18"/>
                <w:szCs w:val="18"/>
              </w:rPr>
            </w:pPr>
            <m:oMathPara>
              <m:oMath>
                <m:r>
                  <m:rPr>
                    <m:sty m:val="b"/>
                  </m:rPr>
                  <w:rPr>
                    <w:rFonts w:ascii="Cambria Math" w:hAnsi="Cambria Math"/>
                    <w:sz w:val="18"/>
                    <w:szCs w:val="18"/>
                  </w:rPr>
                  <m:t>±</m:t>
                </m:r>
              </m:oMath>
            </m:oMathPara>
          </w:p>
        </w:tc>
        <w:tc>
          <w:tcPr>
            <w:tcW w:w="805" w:type="dxa"/>
            <w:tcBorders>
              <w:top w:val="single" w:sz="4" w:space="0" w:color="auto"/>
              <w:left w:val="nil"/>
              <w:bottom w:val="nil"/>
              <w:right w:val="single" w:sz="4" w:space="0" w:color="auto"/>
            </w:tcBorders>
            <w:vAlign w:val="center"/>
          </w:tcPr>
          <w:p w14:paraId="1A334F15" w14:textId="27EFC39D" w:rsidR="00ED6972" w:rsidRDefault="00ED6972" w:rsidP="00ED6972">
            <w:pPr>
              <w:pStyle w:val="BodyTextIndent"/>
              <w:ind w:firstLine="0"/>
              <w:jc w:val="center"/>
              <w:rPr>
                <w:sz w:val="18"/>
              </w:rPr>
            </w:pPr>
            <m:oMathPara>
              <m:oMath>
                <m:r>
                  <m:rPr>
                    <m:sty m:val="bi"/>
                  </m:rPr>
                  <w:rPr>
                    <w:rFonts w:ascii="Cambria Math" w:hAnsi="Cambria Math"/>
                    <w:sz w:val="18"/>
                    <w:szCs w:val="18"/>
                  </w:rPr>
                  <m:t>σ</m:t>
                </m:r>
              </m:oMath>
            </m:oMathPara>
          </w:p>
        </w:tc>
      </w:tr>
      <w:tr w:rsidR="00ED6972" w14:paraId="2D6F10FB" w14:textId="77777777" w:rsidTr="00ED6972">
        <w:trPr>
          <w:trHeight w:val="341"/>
        </w:trPr>
        <w:tc>
          <w:tcPr>
            <w:tcW w:w="715" w:type="dxa"/>
            <w:vMerge/>
            <w:tcBorders>
              <w:bottom w:val="single" w:sz="4" w:space="0" w:color="auto"/>
              <w:right w:val="single" w:sz="4" w:space="0" w:color="auto"/>
            </w:tcBorders>
          </w:tcPr>
          <w:p w14:paraId="1FEAE80E" w14:textId="77777777" w:rsidR="00ED6972" w:rsidRDefault="00ED6972" w:rsidP="00ED6972">
            <w:pPr>
              <w:pStyle w:val="BodyTextIndent"/>
              <w:ind w:firstLine="0"/>
              <w:jc w:val="left"/>
              <w:rPr>
                <w:sz w:val="18"/>
              </w:rPr>
            </w:pPr>
          </w:p>
        </w:tc>
        <w:tc>
          <w:tcPr>
            <w:tcW w:w="810" w:type="dxa"/>
            <w:tcBorders>
              <w:top w:val="nil"/>
              <w:left w:val="single" w:sz="4" w:space="0" w:color="auto"/>
              <w:bottom w:val="single" w:sz="4" w:space="0" w:color="auto"/>
              <w:right w:val="nil"/>
            </w:tcBorders>
            <w:vAlign w:val="center"/>
          </w:tcPr>
          <w:p w14:paraId="11D51FE1" w14:textId="77777777" w:rsidR="00ED6972" w:rsidRDefault="00ED6972" w:rsidP="00ED6972">
            <w:pPr>
              <w:pStyle w:val="BodyTextIndent"/>
              <w:ind w:firstLine="0"/>
              <w:jc w:val="center"/>
              <w:rPr>
                <w:b/>
                <w:bCs/>
                <w:sz w:val="18"/>
                <w:szCs w:val="18"/>
              </w:rPr>
            </w:pPr>
          </w:p>
        </w:tc>
        <w:tc>
          <w:tcPr>
            <w:tcW w:w="270" w:type="dxa"/>
            <w:tcBorders>
              <w:top w:val="nil"/>
              <w:left w:val="nil"/>
              <w:bottom w:val="single" w:sz="4" w:space="0" w:color="auto"/>
              <w:right w:val="nil"/>
            </w:tcBorders>
            <w:vAlign w:val="center"/>
          </w:tcPr>
          <w:p w14:paraId="3834B675" w14:textId="77777777" w:rsidR="00ED6972" w:rsidRPr="00BE52AD" w:rsidRDefault="00ED6972" w:rsidP="00ED6972">
            <w:pPr>
              <w:pStyle w:val="BodyTextIndent"/>
              <w:ind w:firstLine="0"/>
              <w:jc w:val="center"/>
              <w:rPr>
                <w:b/>
                <w:bCs/>
                <w:sz w:val="18"/>
                <w:szCs w:val="18"/>
              </w:rPr>
            </w:pPr>
          </w:p>
        </w:tc>
        <w:tc>
          <w:tcPr>
            <w:tcW w:w="810" w:type="dxa"/>
            <w:tcBorders>
              <w:top w:val="nil"/>
              <w:left w:val="nil"/>
              <w:bottom w:val="single" w:sz="4" w:space="0" w:color="auto"/>
              <w:right w:val="single" w:sz="4" w:space="0" w:color="auto"/>
            </w:tcBorders>
            <w:vAlign w:val="center"/>
          </w:tcPr>
          <w:p w14:paraId="5948776D" w14:textId="49988B5E" w:rsidR="00ED6972" w:rsidRDefault="00057C1D" w:rsidP="00ED6972">
            <w:pPr>
              <w:pStyle w:val="BodyTextIndent"/>
              <w:ind w:firstLine="0"/>
              <w:jc w:val="center"/>
              <w:rPr>
                <w:b/>
                <w:sz w:val="18"/>
                <w:szCs w:val="18"/>
              </w:rPr>
            </w:pPr>
            <m:oMathPara>
              <m:oMath>
                <m:d>
                  <m:dPr>
                    <m:begChr m:val="["/>
                    <m:endChr m:val="]"/>
                    <m:ctrlPr>
                      <w:rPr>
                        <w:rFonts w:ascii="Cambria Math" w:hAnsi="Cambria Math"/>
                        <w:b/>
                        <w:bCs/>
                        <w:i/>
                        <w:sz w:val="18"/>
                        <w:szCs w:val="18"/>
                      </w:rPr>
                    </m:ctrlPr>
                  </m:dPr>
                  <m:e>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10</m:t>
                        </m:r>
                      </m:e>
                      <m:sup>
                        <m:r>
                          <m:rPr>
                            <m:sty m:val="bi"/>
                          </m:rPr>
                          <w:rPr>
                            <w:rFonts w:ascii="Cambria Math" w:hAnsi="Cambria Math"/>
                            <w:sz w:val="18"/>
                            <w:szCs w:val="18"/>
                          </w:rPr>
                          <m:t>-5</m:t>
                        </m:r>
                      </m:sup>
                    </m:sSup>
                  </m:e>
                </m:d>
              </m:oMath>
            </m:oMathPara>
          </w:p>
        </w:tc>
        <w:tc>
          <w:tcPr>
            <w:tcW w:w="900" w:type="dxa"/>
            <w:tcBorders>
              <w:top w:val="nil"/>
              <w:left w:val="single" w:sz="4" w:space="0" w:color="auto"/>
              <w:bottom w:val="single" w:sz="4" w:space="0" w:color="auto"/>
              <w:right w:val="nil"/>
            </w:tcBorders>
            <w:vAlign w:val="center"/>
          </w:tcPr>
          <w:p w14:paraId="3AB93F52" w14:textId="77777777" w:rsidR="00ED6972" w:rsidRDefault="00ED6972" w:rsidP="00ED6972">
            <w:pPr>
              <w:pStyle w:val="BodyTextIndent"/>
              <w:ind w:firstLine="0"/>
              <w:jc w:val="center"/>
              <w:rPr>
                <w:sz w:val="18"/>
              </w:rPr>
            </w:pPr>
          </w:p>
        </w:tc>
        <w:tc>
          <w:tcPr>
            <w:tcW w:w="450" w:type="dxa"/>
            <w:tcBorders>
              <w:top w:val="nil"/>
              <w:left w:val="nil"/>
              <w:bottom w:val="single" w:sz="4" w:space="0" w:color="auto"/>
              <w:right w:val="nil"/>
            </w:tcBorders>
            <w:vAlign w:val="center"/>
          </w:tcPr>
          <w:p w14:paraId="6FBEF372" w14:textId="77777777" w:rsidR="00ED6972" w:rsidRPr="00BE52AD" w:rsidRDefault="00ED6972" w:rsidP="00ED6972">
            <w:pPr>
              <w:pStyle w:val="BodyTextIndent"/>
              <w:ind w:firstLine="0"/>
              <w:jc w:val="center"/>
              <w:rPr>
                <w:sz w:val="18"/>
                <w:szCs w:val="18"/>
              </w:rPr>
            </w:pPr>
          </w:p>
        </w:tc>
        <w:tc>
          <w:tcPr>
            <w:tcW w:w="805" w:type="dxa"/>
            <w:tcBorders>
              <w:top w:val="nil"/>
              <w:left w:val="nil"/>
              <w:bottom w:val="single" w:sz="4" w:space="0" w:color="auto"/>
              <w:right w:val="single" w:sz="4" w:space="0" w:color="auto"/>
            </w:tcBorders>
            <w:vAlign w:val="center"/>
          </w:tcPr>
          <w:p w14:paraId="4C1A7108" w14:textId="76ACCDBC" w:rsidR="00ED6972" w:rsidRDefault="00057C1D" w:rsidP="00ED6972">
            <w:pPr>
              <w:pStyle w:val="BodyTextIndent"/>
              <w:ind w:firstLine="0"/>
              <w:jc w:val="center"/>
              <w:rPr>
                <w:sz w:val="18"/>
              </w:rPr>
            </w:pPr>
            <m:oMathPara>
              <m:oMath>
                <m:d>
                  <m:dPr>
                    <m:begChr m:val="["/>
                    <m:endChr m:val="]"/>
                    <m:ctrlPr>
                      <w:rPr>
                        <w:rFonts w:ascii="Cambria Math" w:hAnsi="Cambria Math"/>
                        <w:b/>
                        <w:bCs/>
                        <w:i/>
                        <w:sz w:val="18"/>
                        <w:szCs w:val="18"/>
                      </w:rPr>
                    </m:ctrlPr>
                  </m:dPr>
                  <m:e>
                    <m:r>
                      <m:rPr>
                        <m:sty m:val="bi"/>
                      </m:rPr>
                      <w:rPr>
                        <w:rFonts w:ascii="Cambria Math" w:hAnsi="Cambria Math"/>
                        <w:sz w:val="18"/>
                        <w:szCs w:val="18"/>
                      </w:rPr>
                      <m:t>×</m:t>
                    </m:r>
                    <m:sSup>
                      <m:sSupPr>
                        <m:ctrlPr>
                          <w:rPr>
                            <w:rFonts w:ascii="Cambria Math" w:hAnsi="Cambria Math"/>
                            <w:b/>
                            <w:bCs/>
                            <w:i/>
                            <w:sz w:val="18"/>
                            <w:szCs w:val="18"/>
                          </w:rPr>
                        </m:ctrlPr>
                      </m:sSupPr>
                      <m:e>
                        <m:r>
                          <m:rPr>
                            <m:sty m:val="bi"/>
                          </m:rPr>
                          <w:rPr>
                            <w:rFonts w:ascii="Cambria Math" w:hAnsi="Cambria Math"/>
                            <w:sz w:val="18"/>
                            <w:szCs w:val="18"/>
                          </w:rPr>
                          <m:t>10</m:t>
                        </m:r>
                      </m:e>
                      <m:sup>
                        <m:r>
                          <m:rPr>
                            <m:sty m:val="bi"/>
                          </m:rPr>
                          <w:rPr>
                            <w:rFonts w:ascii="Cambria Math" w:hAnsi="Cambria Math"/>
                            <w:sz w:val="18"/>
                            <w:szCs w:val="18"/>
                          </w:rPr>
                          <m:t>-5</m:t>
                        </m:r>
                      </m:sup>
                    </m:sSup>
                  </m:e>
                </m:d>
              </m:oMath>
            </m:oMathPara>
          </w:p>
        </w:tc>
      </w:tr>
      <w:tr w:rsidR="00BE52AD" w14:paraId="465FD7D7" w14:textId="77777777" w:rsidTr="00326B6B">
        <w:tc>
          <w:tcPr>
            <w:tcW w:w="715" w:type="dxa"/>
            <w:tcBorders>
              <w:bottom w:val="nil"/>
              <w:right w:val="single" w:sz="4" w:space="0" w:color="auto"/>
            </w:tcBorders>
          </w:tcPr>
          <w:p w14:paraId="312B7C62" w14:textId="11857CCB" w:rsidR="00BE52AD" w:rsidRDefault="00BE52AD" w:rsidP="00ED6972">
            <w:pPr>
              <w:pStyle w:val="BodyTextIndent"/>
              <w:ind w:firstLine="0"/>
              <w:jc w:val="left"/>
              <w:rPr>
                <w:sz w:val="18"/>
              </w:rPr>
            </w:pPr>
            <w:r>
              <w:rPr>
                <w:sz w:val="18"/>
              </w:rPr>
              <w:t>Curve</w:t>
            </w:r>
          </w:p>
        </w:tc>
        <w:tc>
          <w:tcPr>
            <w:tcW w:w="810" w:type="dxa"/>
            <w:tcBorders>
              <w:top w:val="single" w:sz="4" w:space="0" w:color="auto"/>
              <w:left w:val="single" w:sz="4" w:space="0" w:color="auto"/>
              <w:bottom w:val="single" w:sz="4" w:space="0" w:color="auto"/>
              <w:right w:val="nil"/>
            </w:tcBorders>
            <w:vAlign w:val="center"/>
          </w:tcPr>
          <w:p w14:paraId="1C014AA8" w14:textId="2A9D6BB4" w:rsidR="00BE52AD" w:rsidRDefault="00BE52AD" w:rsidP="00ED6972">
            <w:pPr>
              <w:pStyle w:val="BodyTextIndent"/>
              <w:ind w:firstLine="0"/>
              <w:jc w:val="center"/>
              <w:rPr>
                <w:sz w:val="18"/>
              </w:rPr>
            </w:pPr>
            <w:r w:rsidRPr="00ED6972">
              <w:rPr>
                <w:sz w:val="18"/>
              </w:rPr>
              <w:t>1.56509</w:t>
            </w:r>
          </w:p>
        </w:tc>
        <w:tc>
          <w:tcPr>
            <w:tcW w:w="270" w:type="dxa"/>
            <w:tcBorders>
              <w:top w:val="single" w:sz="4" w:space="0" w:color="auto"/>
              <w:left w:val="nil"/>
              <w:bottom w:val="single" w:sz="4" w:space="0" w:color="auto"/>
              <w:right w:val="nil"/>
            </w:tcBorders>
            <w:vAlign w:val="center"/>
          </w:tcPr>
          <w:p w14:paraId="7899C1D4" w14:textId="42A88955" w:rsidR="00BE52AD" w:rsidRPr="00BE52AD" w:rsidRDefault="00BE52AD" w:rsidP="00ED6972">
            <w:pPr>
              <w:pStyle w:val="BodyTextIndent"/>
              <w:ind w:firstLine="0"/>
              <w:jc w:val="center"/>
              <w:rPr>
                <w:sz w:val="18"/>
                <w:szCs w:val="18"/>
              </w:rPr>
            </w:pPr>
            <m:oMathPara>
              <m:oMath>
                <m:r>
                  <m:rPr>
                    <m:sty m:val="b"/>
                  </m:rPr>
                  <w:rPr>
                    <w:rFonts w:ascii="Cambria Math" w:hAnsi="Cambria Math"/>
                    <w:sz w:val="18"/>
                    <w:szCs w:val="18"/>
                  </w:rPr>
                  <m:t>±</m:t>
                </m:r>
              </m:oMath>
            </m:oMathPara>
          </w:p>
        </w:tc>
        <w:tc>
          <w:tcPr>
            <w:tcW w:w="810" w:type="dxa"/>
            <w:tcBorders>
              <w:top w:val="single" w:sz="4" w:space="0" w:color="auto"/>
              <w:left w:val="nil"/>
              <w:bottom w:val="single" w:sz="4" w:space="0" w:color="auto"/>
              <w:right w:val="single" w:sz="4" w:space="0" w:color="auto"/>
            </w:tcBorders>
            <w:vAlign w:val="center"/>
          </w:tcPr>
          <w:p w14:paraId="6C4F8E78" w14:textId="333A3E72" w:rsidR="00BE52AD" w:rsidRDefault="00BE52AD" w:rsidP="00ED6972">
            <w:pPr>
              <w:pStyle w:val="BodyTextIndent"/>
              <w:ind w:firstLine="0"/>
              <w:jc w:val="center"/>
              <w:rPr>
                <w:sz w:val="18"/>
              </w:rPr>
            </w:pPr>
            <w:r>
              <w:rPr>
                <w:sz w:val="18"/>
              </w:rPr>
              <w:t>6</w:t>
            </w:r>
          </w:p>
        </w:tc>
        <w:tc>
          <w:tcPr>
            <w:tcW w:w="2155" w:type="dxa"/>
            <w:gridSpan w:val="3"/>
            <w:tcBorders>
              <w:top w:val="single" w:sz="4" w:space="0" w:color="auto"/>
              <w:left w:val="single" w:sz="4" w:space="0" w:color="auto"/>
              <w:bottom w:val="single" w:sz="4" w:space="0" w:color="auto"/>
              <w:right w:val="single" w:sz="4" w:space="0" w:color="auto"/>
            </w:tcBorders>
            <w:vAlign w:val="center"/>
          </w:tcPr>
          <w:p w14:paraId="43198DC0" w14:textId="3F09398E" w:rsidR="00BE52AD" w:rsidRPr="00BE52AD" w:rsidRDefault="00BE52AD" w:rsidP="00ED6972">
            <w:pPr>
              <w:pStyle w:val="BodyTextIndent"/>
              <w:ind w:firstLine="0"/>
              <w:jc w:val="center"/>
              <w:rPr>
                <w:sz w:val="18"/>
              </w:rPr>
            </w:pPr>
            <m:oMathPara>
              <m:oMath>
                <m:r>
                  <w:rPr>
                    <w:rFonts w:ascii="Cambria Math" w:hAnsi="Cambria Math"/>
                    <w:sz w:val="18"/>
                    <w:szCs w:val="18"/>
                  </w:rPr>
                  <m:t>ref</m:t>
                </m:r>
              </m:oMath>
            </m:oMathPara>
          </w:p>
        </w:tc>
      </w:tr>
      <w:tr w:rsidR="00ED6972" w14:paraId="30EF6990" w14:textId="77777777" w:rsidTr="00ED6972">
        <w:tc>
          <w:tcPr>
            <w:tcW w:w="715" w:type="dxa"/>
            <w:tcBorders>
              <w:top w:val="nil"/>
              <w:right w:val="single" w:sz="4" w:space="0" w:color="auto"/>
            </w:tcBorders>
          </w:tcPr>
          <w:p w14:paraId="20C9BFBC" w14:textId="4AB21048" w:rsidR="00ED6972" w:rsidRDefault="00ED6972" w:rsidP="00ED6972">
            <w:pPr>
              <w:pStyle w:val="BodyTextIndent"/>
              <w:ind w:firstLine="0"/>
              <w:jc w:val="left"/>
              <w:rPr>
                <w:sz w:val="18"/>
              </w:rPr>
            </w:pPr>
            <w:r>
              <w:rPr>
                <w:sz w:val="18"/>
              </w:rPr>
              <w:t>Flat</w:t>
            </w:r>
          </w:p>
        </w:tc>
        <w:tc>
          <w:tcPr>
            <w:tcW w:w="810" w:type="dxa"/>
            <w:tcBorders>
              <w:top w:val="single" w:sz="4" w:space="0" w:color="auto"/>
              <w:left w:val="single" w:sz="4" w:space="0" w:color="auto"/>
              <w:bottom w:val="single" w:sz="4" w:space="0" w:color="auto"/>
              <w:right w:val="nil"/>
            </w:tcBorders>
            <w:vAlign w:val="center"/>
          </w:tcPr>
          <w:p w14:paraId="5BB2FDB6" w14:textId="0CCE49CC" w:rsidR="00ED6972" w:rsidRDefault="00BE52AD" w:rsidP="00ED6972">
            <w:pPr>
              <w:pStyle w:val="BodyTextIndent"/>
              <w:ind w:firstLine="0"/>
              <w:jc w:val="center"/>
              <w:rPr>
                <w:sz w:val="18"/>
              </w:rPr>
            </w:pPr>
            <w:r w:rsidRPr="00BE52AD">
              <w:rPr>
                <w:sz w:val="18"/>
              </w:rPr>
              <w:t>1.56616</w:t>
            </w:r>
          </w:p>
        </w:tc>
        <w:tc>
          <w:tcPr>
            <w:tcW w:w="270" w:type="dxa"/>
            <w:tcBorders>
              <w:top w:val="single" w:sz="4" w:space="0" w:color="auto"/>
              <w:left w:val="nil"/>
              <w:bottom w:val="single" w:sz="4" w:space="0" w:color="auto"/>
              <w:right w:val="nil"/>
            </w:tcBorders>
            <w:vAlign w:val="center"/>
          </w:tcPr>
          <w:p w14:paraId="7CBC079B" w14:textId="56A964DC" w:rsidR="00ED6972" w:rsidRPr="00BE52AD" w:rsidRDefault="00ED6972" w:rsidP="00ED6972">
            <w:pPr>
              <w:pStyle w:val="BodyTextIndent"/>
              <w:ind w:firstLine="0"/>
              <w:jc w:val="center"/>
              <w:rPr>
                <w:sz w:val="18"/>
                <w:szCs w:val="18"/>
              </w:rPr>
            </w:pPr>
            <m:oMathPara>
              <m:oMath>
                <m:r>
                  <m:rPr>
                    <m:sty m:val="b"/>
                  </m:rPr>
                  <w:rPr>
                    <w:rFonts w:ascii="Cambria Math" w:hAnsi="Cambria Math"/>
                    <w:sz w:val="18"/>
                    <w:szCs w:val="18"/>
                  </w:rPr>
                  <m:t>±</m:t>
                </m:r>
              </m:oMath>
            </m:oMathPara>
          </w:p>
        </w:tc>
        <w:tc>
          <w:tcPr>
            <w:tcW w:w="810" w:type="dxa"/>
            <w:tcBorders>
              <w:top w:val="single" w:sz="4" w:space="0" w:color="auto"/>
              <w:left w:val="nil"/>
              <w:bottom w:val="single" w:sz="4" w:space="0" w:color="auto"/>
              <w:right w:val="single" w:sz="4" w:space="0" w:color="auto"/>
            </w:tcBorders>
            <w:vAlign w:val="center"/>
          </w:tcPr>
          <w:p w14:paraId="76CD5D72" w14:textId="07987AC3" w:rsidR="00ED6972" w:rsidRDefault="00BE52AD" w:rsidP="00ED6972">
            <w:pPr>
              <w:pStyle w:val="BodyTextIndent"/>
              <w:ind w:firstLine="0"/>
              <w:jc w:val="center"/>
              <w:rPr>
                <w:sz w:val="18"/>
              </w:rPr>
            </w:pPr>
            <w:r>
              <w:rPr>
                <w:sz w:val="18"/>
              </w:rPr>
              <w:t>6</w:t>
            </w:r>
          </w:p>
        </w:tc>
        <w:tc>
          <w:tcPr>
            <w:tcW w:w="900" w:type="dxa"/>
            <w:tcBorders>
              <w:top w:val="single" w:sz="4" w:space="0" w:color="auto"/>
              <w:left w:val="single" w:sz="4" w:space="0" w:color="auto"/>
              <w:bottom w:val="single" w:sz="4" w:space="0" w:color="auto"/>
              <w:right w:val="nil"/>
            </w:tcBorders>
            <w:vAlign w:val="center"/>
          </w:tcPr>
          <w:p w14:paraId="0723197E" w14:textId="1796B434" w:rsidR="00ED6972" w:rsidRDefault="00BE52AD" w:rsidP="00ED6972">
            <w:pPr>
              <w:pStyle w:val="BodyTextIndent"/>
              <w:ind w:firstLine="0"/>
              <w:jc w:val="center"/>
              <w:rPr>
                <w:sz w:val="18"/>
              </w:rPr>
            </w:pPr>
            <w:r>
              <w:rPr>
                <w:sz w:val="18"/>
              </w:rPr>
              <w:t>107</w:t>
            </w:r>
          </w:p>
        </w:tc>
        <w:tc>
          <w:tcPr>
            <w:tcW w:w="450" w:type="dxa"/>
            <w:tcBorders>
              <w:top w:val="single" w:sz="4" w:space="0" w:color="auto"/>
              <w:left w:val="nil"/>
              <w:bottom w:val="single" w:sz="4" w:space="0" w:color="auto"/>
              <w:right w:val="nil"/>
            </w:tcBorders>
            <w:vAlign w:val="center"/>
          </w:tcPr>
          <w:p w14:paraId="68959977" w14:textId="07EAE3D8" w:rsidR="00ED6972" w:rsidRPr="00BE52AD" w:rsidRDefault="00ED6972" w:rsidP="00ED6972">
            <w:pPr>
              <w:pStyle w:val="BodyTextIndent"/>
              <w:ind w:firstLine="0"/>
              <w:jc w:val="center"/>
              <w:rPr>
                <w:sz w:val="18"/>
                <w:szCs w:val="18"/>
              </w:rPr>
            </w:pPr>
            <m:oMathPara>
              <m:oMath>
                <m:r>
                  <m:rPr>
                    <m:sty m:val="b"/>
                  </m:rPr>
                  <w:rPr>
                    <w:rFonts w:ascii="Cambria Math" w:hAnsi="Cambria Math"/>
                    <w:sz w:val="18"/>
                    <w:szCs w:val="18"/>
                  </w:rPr>
                  <m:t>±</m:t>
                </m:r>
              </m:oMath>
            </m:oMathPara>
          </w:p>
        </w:tc>
        <w:tc>
          <w:tcPr>
            <w:tcW w:w="805" w:type="dxa"/>
            <w:tcBorders>
              <w:top w:val="single" w:sz="4" w:space="0" w:color="auto"/>
              <w:left w:val="nil"/>
              <w:bottom w:val="single" w:sz="4" w:space="0" w:color="auto"/>
              <w:right w:val="single" w:sz="4" w:space="0" w:color="auto"/>
            </w:tcBorders>
            <w:vAlign w:val="center"/>
          </w:tcPr>
          <w:p w14:paraId="3F86C990" w14:textId="51BFA9CF" w:rsidR="00ED6972" w:rsidRDefault="00BE52AD" w:rsidP="00BE52AD">
            <w:pPr>
              <w:pStyle w:val="BodyTextIndent"/>
              <w:ind w:firstLine="0"/>
              <w:jc w:val="center"/>
              <w:rPr>
                <w:sz w:val="18"/>
              </w:rPr>
            </w:pPr>
            <w:r>
              <w:rPr>
                <w:sz w:val="18"/>
              </w:rPr>
              <w:t>8.485</w:t>
            </w:r>
          </w:p>
        </w:tc>
      </w:tr>
    </w:tbl>
    <w:p w14:paraId="6BB18164" w14:textId="77777777" w:rsidR="00422F64" w:rsidRDefault="00422F64" w:rsidP="00422F64">
      <w:pPr>
        <w:pStyle w:val="BodyTextIndent"/>
      </w:pPr>
    </w:p>
    <w:p w14:paraId="5498863F" w14:textId="007DC674" w:rsidR="00422F64" w:rsidRDefault="00BE52AD">
      <w:pPr>
        <w:pStyle w:val="BodyTextIndent"/>
        <w:rPr>
          <w:bCs/>
          <w:sz w:val="22"/>
          <w:szCs w:val="22"/>
        </w:rPr>
      </w:pPr>
      <w:r w:rsidRPr="00BE52AD">
        <w:rPr>
          <w:bCs/>
          <w:sz w:val="22"/>
          <w:szCs w:val="22"/>
        </w:rPr>
        <w:t>Remarkably, the flat fuel element model exhibited a marginally higher k-</w:t>
      </w:r>
      <w:r w:rsidR="00FD1F94">
        <w:rPr>
          <w:bCs/>
          <w:sz w:val="22"/>
          <w:szCs w:val="22"/>
        </w:rPr>
        <w:t>inf</w:t>
      </w:r>
      <w:r w:rsidRPr="00BE52AD">
        <w:rPr>
          <w:bCs/>
          <w:sz w:val="22"/>
          <w:szCs w:val="22"/>
        </w:rPr>
        <w:t xml:space="preserve"> compared to the curved fuel element model. This finding suggests that the specific geometry of the fuel elements may have a subtle influence on the criticality of the reactor. However, it is important to note that the observed difference remains within an acceptable range, indicating that simulating the MTR fuel as flat elements still provides a satisfactory estimation of the real shape's criticality behavior.</w:t>
      </w:r>
    </w:p>
    <w:p w14:paraId="62DD37E8" w14:textId="5BB6BA63" w:rsidR="00BE52AD" w:rsidRDefault="00BE52AD" w:rsidP="00CE2B50">
      <w:pPr>
        <w:pStyle w:val="BodyTextIndent"/>
        <w:ind w:firstLine="0"/>
        <w:rPr>
          <w:bCs/>
          <w:sz w:val="22"/>
          <w:szCs w:val="22"/>
        </w:rPr>
      </w:pPr>
    </w:p>
    <w:p w14:paraId="29468B3C" w14:textId="09678A91" w:rsidR="00BE52AD" w:rsidRPr="00422F64" w:rsidRDefault="00BE52AD" w:rsidP="00BE52AD">
      <w:pPr>
        <w:pStyle w:val="BodyTextIndent"/>
        <w:rPr>
          <w:b/>
          <w:bCs/>
          <w:i/>
          <w:iCs/>
          <w:sz w:val="22"/>
          <w:szCs w:val="22"/>
        </w:rPr>
      </w:pPr>
      <w:r w:rsidRPr="00BA6131">
        <w:rPr>
          <w:b/>
          <w:bCs/>
          <w:sz w:val="22"/>
          <w:szCs w:val="22"/>
        </w:rPr>
        <w:t>I</w:t>
      </w:r>
      <w:r>
        <w:rPr>
          <w:b/>
          <w:bCs/>
          <w:sz w:val="22"/>
          <w:szCs w:val="22"/>
        </w:rPr>
        <w:t>V</w:t>
      </w:r>
      <w:r w:rsidRPr="00422F64">
        <w:rPr>
          <w:b/>
          <w:bCs/>
          <w:i/>
          <w:iCs/>
          <w:sz w:val="22"/>
          <w:szCs w:val="22"/>
        </w:rPr>
        <w:t>.</w:t>
      </w:r>
      <w:r>
        <w:rPr>
          <w:b/>
          <w:bCs/>
          <w:i/>
          <w:iCs/>
          <w:sz w:val="22"/>
          <w:szCs w:val="22"/>
        </w:rPr>
        <w:t>B</w:t>
      </w:r>
      <w:r w:rsidRPr="00422F64">
        <w:rPr>
          <w:b/>
          <w:bCs/>
          <w:i/>
          <w:iCs/>
          <w:sz w:val="22"/>
          <w:szCs w:val="22"/>
        </w:rPr>
        <w:t xml:space="preserve">. </w:t>
      </w:r>
      <w:r>
        <w:rPr>
          <w:b/>
          <w:bCs/>
          <w:i/>
          <w:iCs/>
          <w:sz w:val="22"/>
          <w:szCs w:val="22"/>
        </w:rPr>
        <w:t>Fission Distribution</w:t>
      </w:r>
      <w:r w:rsidRPr="00422F64">
        <w:rPr>
          <w:b/>
          <w:bCs/>
          <w:i/>
          <w:iCs/>
          <w:sz w:val="22"/>
          <w:szCs w:val="22"/>
        </w:rPr>
        <w:t>:</w:t>
      </w:r>
    </w:p>
    <w:p w14:paraId="0C195284" w14:textId="125851D8" w:rsidR="00BE52AD" w:rsidRDefault="00BE52AD" w:rsidP="00CE2B50">
      <w:pPr>
        <w:pStyle w:val="BodyTextIndent"/>
        <w:ind w:firstLine="0"/>
        <w:rPr>
          <w:bCs/>
          <w:sz w:val="22"/>
          <w:szCs w:val="22"/>
        </w:rPr>
      </w:pPr>
    </w:p>
    <w:p w14:paraId="1F8A8C84" w14:textId="42C7FBBF" w:rsidR="00B11866" w:rsidRDefault="00B11866">
      <w:pPr>
        <w:pStyle w:val="BodyTextIndent"/>
        <w:rPr>
          <w:bCs/>
          <w:sz w:val="22"/>
          <w:szCs w:val="22"/>
        </w:rPr>
      </w:pPr>
      <w:r w:rsidRPr="00B11866">
        <w:rPr>
          <w:bCs/>
          <w:sz w:val="22"/>
          <w:szCs w:val="22"/>
        </w:rPr>
        <w:t xml:space="preserve">The spatial distribution of fission reactions within the </w:t>
      </w:r>
      <w:r>
        <w:rPr>
          <w:bCs/>
          <w:sz w:val="22"/>
          <w:szCs w:val="22"/>
        </w:rPr>
        <w:t>simulated models</w:t>
      </w:r>
      <w:r w:rsidRPr="00B11866">
        <w:rPr>
          <w:bCs/>
          <w:sz w:val="22"/>
          <w:szCs w:val="22"/>
        </w:rPr>
        <w:t>, represented by the 2D fission distribution, was examined for both fuel element configurations</w:t>
      </w:r>
      <w:r>
        <w:rPr>
          <w:bCs/>
          <w:sz w:val="22"/>
          <w:szCs w:val="22"/>
        </w:rPr>
        <w:t xml:space="preserve"> </w:t>
      </w:r>
      <w:r w:rsidRPr="00DB67A4">
        <w:rPr>
          <w:bCs/>
          <w:sz w:val="22"/>
          <w:szCs w:val="22"/>
        </w:rPr>
        <w:t>as shown in</w:t>
      </w:r>
      <w:r w:rsidR="00DB67A4">
        <w:rPr>
          <w:bCs/>
          <w:sz w:val="22"/>
          <w:szCs w:val="22"/>
        </w:rPr>
        <w:t xml:space="preserve"> Fig. 4 to Fig. </w:t>
      </w:r>
      <w:r w:rsidR="00FC7857">
        <w:rPr>
          <w:bCs/>
          <w:sz w:val="22"/>
          <w:szCs w:val="22"/>
        </w:rPr>
        <w:t>6</w:t>
      </w:r>
      <w:r w:rsidRPr="00B11866">
        <w:rPr>
          <w:bCs/>
          <w:sz w:val="22"/>
          <w:szCs w:val="22"/>
        </w:rPr>
        <w:t>. Both models displayed similar patterns in fission distribution, suggesting that the fuel element's geometric shape had minimal impact on the spatial distribution of fission reactions.</w:t>
      </w:r>
      <w:r w:rsidR="00FC7857">
        <w:rPr>
          <w:bCs/>
          <w:sz w:val="22"/>
          <w:szCs w:val="22"/>
        </w:rPr>
        <w:t xml:space="preserve"> However, the Fig. 6 is illustrating the difference in distribution</w:t>
      </w:r>
      <w:r w:rsidR="00C94898">
        <w:rPr>
          <w:bCs/>
          <w:sz w:val="22"/>
          <w:szCs w:val="22"/>
        </w:rPr>
        <w:t xml:space="preserve"> among x-axis</w:t>
      </w:r>
      <w:r w:rsidR="00FC7857">
        <w:rPr>
          <w:bCs/>
          <w:sz w:val="22"/>
          <w:szCs w:val="22"/>
        </w:rPr>
        <w:t xml:space="preserve"> with maximum difference of 4.4%.</w:t>
      </w:r>
      <w:r w:rsidRPr="00B11866">
        <w:rPr>
          <w:bCs/>
          <w:sz w:val="22"/>
          <w:szCs w:val="22"/>
        </w:rPr>
        <w:t xml:space="preserve"> This result supports the use of simplified flat fuel element models for certain simulation scenarios, as they yield comparable fission distribution to the real curved shape.</w:t>
      </w:r>
    </w:p>
    <w:p w14:paraId="4D758FF9" w14:textId="77777777" w:rsidR="00DB67A4" w:rsidRDefault="00DB67A4" w:rsidP="00DB67A4">
      <w:pPr>
        <w:pStyle w:val="BodyTextIndent"/>
        <w:rPr>
          <w:bCs/>
          <w:sz w:val="22"/>
          <w:szCs w:val="22"/>
        </w:rPr>
      </w:pPr>
    </w:p>
    <w:p w14:paraId="737897F8" w14:textId="0346472D" w:rsidR="00B11866" w:rsidRDefault="00B11866" w:rsidP="003B36BB">
      <w:pPr>
        <w:pStyle w:val="BodyTextIndent"/>
        <w:ind w:firstLine="0"/>
        <w:jc w:val="center"/>
      </w:pPr>
      <w:r>
        <w:rPr>
          <w:noProof/>
        </w:rPr>
        <w:drawing>
          <wp:inline distT="0" distB="0" distL="0" distR="0" wp14:anchorId="737B5A29" wp14:editId="32BDF4BA">
            <wp:extent cx="2870200" cy="1859403"/>
            <wp:effectExtent l="0" t="0" r="6350" b="762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9">
                      <a:extLst>
                        <a:ext uri="{28A0092B-C50C-407E-A947-70E740481C1C}">
                          <a14:useLocalDpi xmlns:a14="http://schemas.microsoft.com/office/drawing/2010/main" val="0"/>
                        </a:ext>
                      </a:extLst>
                    </a:blip>
                    <a:srcRect t="11454" b="2180"/>
                    <a:stretch/>
                  </pic:blipFill>
                  <pic:spPr bwMode="auto">
                    <a:xfrm>
                      <a:off x="0" y="0"/>
                      <a:ext cx="2886190" cy="1869762"/>
                    </a:xfrm>
                    <a:prstGeom prst="rect">
                      <a:avLst/>
                    </a:prstGeom>
                    <a:ln>
                      <a:noFill/>
                    </a:ln>
                    <a:extLst>
                      <a:ext uri="{53640926-AAD7-44D8-BBD7-CCE9431645EC}">
                        <a14:shadowObscured xmlns:a14="http://schemas.microsoft.com/office/drawing/2010/main"/>
                      </a:ext>
                    </a:extLst>
                  </pic:spPr>
                </pic:pic>
              </a:graphicData>
            </a:graphic>
          </wp:inline>
        </w:drawing>
      </w:r>
    </w:p>
    <w:p w14:paraId="746AFD33" w14:textId="1968CE58" w:rsidR="00B11866" w:rsidRDefault="00B11866" w:rsidP="00DB67A4">
      <w:pPr>
        <w:pStyle w:val="BodyTextIndent"/>
        <w:rPr>
          <w:i/>
          <w:iCs/>
        </w:rPr>
      </w:pPr>
      <w:r w:rsidRPr="00BB7497">
        <w:rPr>
          <w:i/>
          <w:iCs/>
        </w:rPr>
        <w:t xml:space="preserve">Fig. </w:t>
      </w:r>
      <w:r w:rsidR="00DB67A4">
        <w:rPr>
          <w:i/>
          <w:iCs/>
        </w:rPr>
        <w:t>4</w:t>
      </w:r>
      <w:r w:rsidRPr="00BB7497">
        <w:rPr>
          <w:i/>
          <w:iCs/>
        </w:rPr>
        <w:t xml:space="preserve">. </w:t>
      </w:r>
      <w:r>
        <w:rPr>
          <w:i/>
          <w:iCs/>
        </w:rPr>
        <w:t>Curved fission distribution</w:t>
      </w:r>
    </w:p>
    <w:p w14:paraId="7A4DC382" w14:textId="14524AA4" w:rsidR="00B11866" w:rsidRDefault="00B11866" w:rsidP="00B11866">
      <w:pPr>
        <w:pStyle w:val="BodyTextIndent"/>
        <w:rPr>
          <w:i/>
          <w:iCs/>
        </w:rPr>
      </w:pPr>
    </w:p>
    <w:p w14:paraId="34062529" w14:textId="118E94ED" w:rsidR="00B11866" w:rsidRPr="00BB7497" w:rsidRDefault="00B11866" w:rsidP="003B36BB">
      <w:pPr>
        <w:pStyle w:val="BodyTextIndent"/>
        <w:ind w:firstLine="0"/>
        <w:jc w:val="center"/>
        <w:rPr>
          <w:i/>
          <w:iCs/>
        </w:rPr>
      </w:pPr>
      <w:r>
        <w:rPr>
          <w:noProof/>
        </w:rPr>
        <w:drawing>
          <wp:inline distT="0" distB="0" distL="0" distR="0" wp14:anchorId="25F3FBA6" wp14:editId="7AD39082">
            <wp:extent cx="2921878" cy="19113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extLst>
                        <a:ext uri="{28A0092B-C50C-407E-A947-70E740481C1C}">
                          <a14:useLocalDpi xmlns:a14="http://schemas.microsoft.com/office/drawing/2010/main" val="0"/>
                        </a:ext>
                      </a:extLst>
                    </a:blip>
                    <a:srcRect t="10836" b="1956"/>
                    <a:stretch/>
                  </pic:blipFill>
                  <pic:spPr bwMode="auto">
                    <a:xfrm>
                      <a:off x="0" y="0"/>
                      <a:ext cx="2929544" cy="1916364"/>
                    </a:xfrm>
                    <a:prstGeom prst="rect">
                      <a:avLst/>
                    </a:prstGeom>
                    <a:ln>
                      <a:noFill/>
                    </a:ln>
                    <a:extLst>
                      <a:ext uri="{53640926-AAD7-44D8-BBD7-CCE9431645EC}">
                        <a14:shadowObscured xmlns:a14="http://schemas.microsoft.com/office/drawing/2010/main"/>
                      </a:ext>
                    </a:extLst>
                  </pic:spPr>
                </pic:pic>
              </a:graphicData>
            </a:graphic>
          </wp:inline>
        </w:drawing>
      </w:r>
    </w:p>
    <w:p w14:paraId="6045AA35" w14:textId="46A9652D" w:rsidR="008276B4" w:rsidRDefault="00B11866" w:rsidP="003B36BB">
      <w:pPr>
        <w:pStyle w:val="BodyTextIndent"/>
        <w:rPr>
          <w:bCs/>
          <w:sz w:val="22"/>
          <w:szCs w:val="22"/>
        </w:rPr>
      </w:pPr>
      <w:r w:rsidRPr="00BB7497">
        <w:rPr>
          <w:i/>
          <w:iCs/>
        </w:rPr>
        <w:t xml:space="preserve">Fig. </w:t>
      </w:r>
      <w:r w:rsidR="00DB67A4">
        <w:rPr>
          <w:i/>
          <w:iCs/>
        </w:rPr>
        <w:t>5</w:t>
      </w:r>
      <w:r w:rsidRPr="00BB7497">
        <w:rPr>
          <w:i/>
          <w:iCs/>
        </w:rPr>
        <w:t xml:space="preserve">. </w:t>
      </w:r>
      <w:r>
        <w:rPr>
          <w:i/>
          <w:iCs/>
        </w:rPr>
        <w:t>Flat fission distribution</w:t>
      </w:r>
    </w:p>
    <w:p w14:paraId="3725D188" w14:textId="33455FD6" w:rsidR="00FD1F94" w:rsidRDefault="00FD1F94" w:rsidP="003B36BB">
      <w:pPr>
        <w:pStyle w:val="BodyTextIndent"/>
        <w:jc w:val="center"/>
        <w:rPr>
          <w:b/>
          <w:bCs/>
          <w:sz w:val="22"/>
          <w:szCs w:val="22"/>
        </w:rPr>
      </w:pPr>
      <w:r w:rsidRPr="003B36BB">
        <w:rPr>
          <w:noProof/>
          <w:sz w:val="22"/>
          <w:szCs w:val="22"/>
        </w:rPr>
        <w:drawing>
          <wp:inline distT="0" distB="0" distL="0" distR="0" wp14:anchorId="1CC1222A" wp14:editId="29FDF6BA">
            <wp:extent cx="2834640" cy="2126277"/>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sion_difference_distribution.png"/>
                    <pic:cNvPicPr/>
                  </pic:nvPicPr>
                  <pic:blipFill>
                    <a:blip r:embed="rId21">
                      <a:extLst>
                        <a:ext uri="{28A0092B-C50C-407E-A947-70E740481C1C}">
                          <a14:useLocalDpi xmlns:a14="http://schemas.microsoft.com/office/drawing/2010/main" val="0"/>
                        </a:ext>
                      </a:extLst>
                    </a:blip>
                    <a:stretch>
                      <a:fillRect/>
                    </a:stretch>
                  </pic:blipFill>
                  <pic:spPr>
                    <a:xfrm>
                      <a:off x="0" y="0"/>
                      <a:ext cx="2834640" cy="2126277"/>
                    </a:xfrm>
                    <a:prstGeom prst="rect">
                      <a:avLst/>
                    </a:prstGeom>
                  </pic:spPr>
                </pic:pic>
              </a:graphicData>
            </a:graphic>
          </wp:inline>
        </w:drawing>
      </w:r>
    </w:p>
    <w:p w14:paraId="077A6871" w14:textId="6ACC1FE2" w:rsidR="00FC7857" w:rsidRDefault="00C94898">
      <w:pPr>
        <w:pStyle w:val="BodyTextIndent"/>
        <w:rPr>
          <w:b/>
          <w:bCs/>
          <w:sz w:val="22"/>
          <w:szCs w:val="22"/>
        </w:rPr>
      </w:pPr>
      <w:r>
        <w:rPr>
          <w:i/>
          <w:iCs/>
        </w:rPr>
        <w:t>Fig.6. F</w:t>
      </w:r>
      <w:r w:rsidR="00FC7857">
        <w:rPr>
          <w:i/>
          <w:iCs/>
        </w:rPr>
        <w:t xml:space="preserve">ission </w:t>
      </w:r>
      <w:r>
        <w:rPr>
          <w:i/>
          <w:iCs/>
        </w:rPr>
        <w:t>D</w:t>
      </w:r>
      <w:r w:rsidR="00FC7857">
        <w:rPr>
          <w:i/>
          <w:iCs/>
        </w:rPr>
        <w:t>istribution of Bare Curved and Flat Elements and the Difference Between Them Among X-axis</w:t>
      </w:r>
    </w:p>
    <w:p w14:paraId="0D7E1854" w14:textId="77777777" w:rsidR="00FD1F94" w:rsidRDefault="00FD1F94" w:rsidP="00B11866">
      <w:pPr>
        <w:pStyle w:val="BodyTextIndent"/>
        <w:rPr>
          <w:b/>
          <w:bCs/>
          <w:sz w:val="22"/>
          <w:szCs w:val="22"/>
        </w:rPr>
      </w:pPr>
    </w:p>
    <w:p w14:paraId="405AC642" w14:textId="40E432CF" w:rsidR="00B11866" w:rsidRPr="00422F64" w:rsidRDefault="00B11866" w:rsidP="00B11866">
      <w:pPr>
        <w:pStyle w:val="BodyTextIndent"/>
        <w:rPr>
          <w:b/>
          <w:bCs/>
          <w:i/>
          <w:iCs/>
          <w:sz w:val="22"/>
          <w:szCs w:val="22"/>
        </w:rPr>
      </w:pPr>
      <w:r w:rsidRPr="00BA6131">
        <w:rPr>
          <w:b/>
          <w:bCs/>
          <w:sz w:val="22"/>
          <w:szCs w:val="22"/>
        </w:rPr>
        <w:t>I</w:t>
      </w:r>
      <w:r>
        <w:rPr>
          <w:b/>
          <w:bCs/>
          <w:sz w:val="22"/>
          <w:szCs w:val="22"/>
        </w:rPr>
        <w:t>V</w:t>
      </w:r>
      <w:r w:rsidRPr="00422F64">
        <w:rPr>
          <w:b/>
          <w:bCs/>
          <w:i/>
          <w:iCs/>
          <w:sz w:val="22"/>
          <w:szCs w:val="22"/>
        </w:rPr>
        <w:t>.</w:t>
      </w:r>
      <w:r>
        <w:rPr>
          <w:b/>
          <w:bCs/>
          <w:i/>
          <w:iCs/>
          <w:sz w:val="22"/>
          <w:szCs w:val="22"/>
        </w:rPr>
        <w:t>C</w:t>
      </w:r>
      <w:r w:rsidRPr="00422F64">
        <w:rPr>
          <w:b/>
          <w:bCs/>
          <w:i/>
          <w:iCs/>
          <w:sz w:val="22"/>
          <w:szCs w:val="22"/>
        </w:rPr>
        <w:t xml:space="preserve">. </w:t>
      </w:r>
      <w:r>
        <w:rPr>
          <w:b/>
          <w:bCs/>
          <w:i/>
          <w:iCs/>
          <w:sz w:val="22"/>
          <w:szCs w:val="22"/>
        </w:rPr>
        <w:t>XY</w:t>
      </w:r>
      <w:r w:rsidRPr="00B11866">
        <w:rPr>
          <w:b/>
          <w:bCs/>
          <w:i/>
          <w:iCs/>
          <w:sz w:val="22"/>
          <w:szCs w:val="22"/>
        </w:rPr>
        <w:t xml:space="preserve"> Flux Distribution:</w:t>
      </w:r>
    </w:p>
    <w:p w14:paraId="1696E552" w14:textId="57CD188A" w:rsidR="00B11866" w:rsidRDefault="00B11866" w:rsidP="00F52391">
      <w:pPr>
        <w:pStyle w:val="BodyTextIndent"/>
        <w:ind w:firstLine="0"/>
        <w:rPr>
          <w:bCs/>
          <w:sz w:val="22"/>
          <w:szCs w:val="22"/>
        </w:rPr>
      </w:pPr>
    </w:p>
    <w:p w14:paraId="0EA7AA4A" w14:textId="486D07CE" w:rsidR="004A3589" w:rsidRDefault="004A3589" w:rsidP="004A3589">
      <w:pPr>
        <w:pStyle w:val="BodyTextIndent"/>
        <w:rPr>
          <w:bCs/>
          <w:sz w:val="22"/>
          <w:szCs w:val="22"/>
        </w:rPr>
      </w:pPr>
      <w:r w:rsidRPr="004A3589">
        <w:rPr>
          <w:bCs/>
          <w:sz w:val="22"/>
          <w:szCs w:val="22"/>
        </w:rPr>
        <w:t>The XY flux distribution, which represents the neutron flux variation across the core plane, was analyzed for both fuel element models. Six figures were generated</w:t>
      </w:r>
      <w:r w:rsidR="00C94898">
        <w:rPr>
          <w:bCs/>
          <w:sz w:val="22"/>
          <w:szCs w:val="22"/>
        </w:rPr>
        <w:t xml:space="preserve"> (Fig. 7 to Fig. 12) </w:t>
      </w:r>
      <w:r w:rsidRPr="004A3589">
        <w:rPr>
          <w:bCs/>
          <w:sz w:val="22"/>
          <w:szCs w:val="22"/>
        </w:rPr>
        <w:t xml:space="preserve">to depict the scattering and flux for each configuration, as well as the differences between </w:t>
      </w:r>
      <w:r>
        <w:rPr>
          <w:bCs/>
          <w:sz w:val="22"/>
          <w:szCs w:val="22"/>
        </w:rPr>
        <w:t>flux.</w:t>
      </w:r>
    </w:p>
    <w:p w14:paraId="49BFDC0A" w14:textId="7A17877E" w:rsidR="00781B6A" w:rsidRDefault="004A3589">
      <w:pPr>
        <w:pStyle w:val="BodyTextIndent"/>
        <w:rPr>
          <w:bCs/>
          <w:sz w:val="22"/>
          <w:szCs w:val="22"/>
        </w:rPr>
      </w:pPr>
      <w:r w:rsidRPr="004A3589">
        <w:rPr>
          <w:bCs/>
          <w:sz w:val="22"/>
          <w:szCs w:val="22"/>
        </w:rPr>
        <w:t xml:space="preserve">In both models, the scattering and flux profiles exhibited a similar pattern across most of the </w:t>
      </w:r>
      <w:r w:rsidR="004C4D75">
        <w:rPr>
          <w:bCs/>
          <w:sz w:val="22"/>
          <w:szCs w:val="22"/>
        </w:rPr>
        <w:t>fuel element</w:t>
      </w:r>
      <w:r w:rsidRPr="004A3589">
        <w:rPr>
          <w:bCs/>
          <w:sz w:val="22"/>
          <w:szCs w:val="22"/>
        </w:rPr>
        <w:t xml:space="preserve">. However, </w:t>
      </w:r>
      <w:r w:rsidR="004C4D75" w:rsidRPr="004A3589">
        <w:rPr>
          <w:bCs/>
          <w:sz w:val="22"/>
          <w:szCs w:val="22"/>
        </w:rPr>
        <w:t>insignificant</w:t>
      </w:r>
      <w:r w:rsidR="004C4D75">
        <w:rPr>
          <w:bCs/>
          <w:sz w:val="22"/>
          <w:szCs w:val="22"/>
        </w:rPr>
        <w:t xml:space="preserve"> 0.25%</w:t>
      </w:r>
      <w:r w:rsidRPr="004A3589">
        <w:rPr>
          <w:bCs/>
          <w:sz w:val="22"/>
          <w:szCs w:val="22"/>
        </w:rPr>
        <w:t xml:space="preserve"> differences </w:t>
      </w:r>
      <w:r w:rsidR="00DB67A4">
        <w:rPr>
          <w:bCs/>
          <w:sz w:val="22"/>
          <w:szCs w:val="22"/>
        </w:rPr>
        <w:t xml:space="preserve">(as shown in Fig. </w:t>
      </w:r>
      <w:r w:rsidR="00C94898">
        <w:rPr>
          <w:bCs/>
          <w:sz w:val="22"/>
          <w:szCs w:val="22"/>
        </w:rPr>
        <w:t>11</w:t>
      </w:r>
      <w:r w:rsidR="00DB67A4">
        <w:rPr>
          <w:bCs/>
          <w:sz w:val="22"/>
          <w:szCs w:val="22"/>
        </w:rPr>
        <w:t xml:space="preserve">) </w:t>
      </w:r>
      <w:r w:rsidRPr="004A3589">
        <w:rPr>
          <w:bCs/>
          <w:sz w:val="22"/>
          <w:szCs w:val="22"/>
        </w:rPr>
        <w:t xml:space="preserve">were observed in the center of the </w:t>
      </w:r>
      <w:r w:rsidR="004C4D75">
        <w:rPr>
          <w:bCs/>
          <w:sz w:val="22"/>
          <w:szCs w:val="22"/>
        </w:rPr>
        <w:t>flux</w:t>
      </w:r>
      <w:r w:rsidRPr="004A3589">
        <w:rPr>
          <w:bCs/>
          <w:sz w:val="22"/>
          <w:szCs w:val="22"/>
        </w:rPr>
        <w:t xml:space="preserve"> due to the geometrical shape variations. The curved fuel element model demonstrated a more localized flux distribution, while the flat fuel element model showed a broader distribution in the central region. These differences could be attributed to the influence of the curved and flat shapes on neutron scattering and flux behaviors</w:t>
      </w:r>
      <w:r w:rsidR="004C4D75">
        <w:rPr>
          <w:bCs/>
          <w:sz w:val="22"/>
          <w:szCs w:val="22"/>
        </w:rPr>
        <w:t xml:space="preserve"> in case of burning the fuel during operation</w:t>
      </w:r>
      <w:r w:rsidRPr="004A3589">
        <w:rPr>
          <w:bCs/>
          <w:sz w:val="22"/>
          <w:szCs w:val="22"/>
        </w:rPr>
        <w:t>.</w:t>
      </w:r>
    </w:p>
    <w:p w14:paraId="1B76F05F" w14:textId="3CF02F6C" w:rsidR="004A3589" w:rsidRDefault="004A3589" w:rsidP="004A3589">
      <w:pPr>
        <w:pStyle w:val="BodyTextIndent"/>
        <w:rPr>
          <w:bCs/>
          <w:sz w:val="22"/>
          <w:szCs w:val="22"/>
        </w:rPr>
      </w:pPr>
    </w:p>
    <w:p w14:paraId="655823F0" w14:textId="5A324246" w:rsidR="004A3589" w:rsidRDefault="004A3589" w:rsidP="004C4D75">
      <w:pPr>
        <w:pStyle w:val="BodyTextIndent"/>
        <w:ind w:firstLine="0"/>
        <w:rPr>
          <w:bCs/>
          <w:sz w:val="22"/>
          <w:szCs w:val="22"/>
        </w:rPr>
      </w:pPr>
      <w:r>
        <w:rPr>
          <w:noProof/>
        </w:rPr>
        <w:lastRenderedPageBreak/>
        <w:drawing>
          <wp:inline distT="0" distB="0" distL="0" distR="0" wp14:anchorId="694A1D1F" wp14:editId="63867EBC">
            <wp:extent cx="2908300" cy="1938398"/>
            <wp:effectExtent l="0" t="0" r="6350" b="508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2">
                      <a:extLst>
                        <a:ext uri="{28A0092B-C50C-407E-A947-70E740481C1C}">
                          <a14:useLocalDpi xmlns:a14="http://schemas.microsoft.com/office/drawing/2010/main" val="0"/>
                        </a:ext>
                      </a:extLst>
                    </a:blip>
                    <a:srcRect t="11145"/>
                    <a:stretch/>
                  </pic:blipFill>
                  <pic:spPr bwMode="auto">
                    <a:xfrm>
                      <a:off x="0" y="0"/>
                      <a:ext cx="2919256" cy="1945700"/>
                    </a:xfrm>
                    <a:prstGeom prst="rect">
                      <a:avLst/>
                    </a:prstGeom>
                    <a:ln>
                      <a:noFill/>
                    </a:ln>
                    <a:extLst>
                      <a:ext uri="{53640926-AAD7-44D8-BBD7-CCE9431645EC}">
                        <a14:shadowObscured xmlns:a14="http://schemas.microsoft.com/office/drawing/2010/main"/>
                      </a:ext>
                    </a:extLst>
                  </pic:spPr>
                </pic:pic>
              </a:graphicData>
            </a:graphic>
          </wp:inline>
        </w:drawing>
      </w:r>
    </w:p>
    <w:p w14:paraId="647221C5" w14:textId="42DB9AFB" w:rsidR="004A3589" w:rsidRDefault="004A3589">
      <w:pPr>
        <w:pStyle w:val="BodyTextIndent"/>
        <w:rPr>
          <w:i/>
          <w:iCs/>
        </w:rPr>
      </w:pPr>
      <w:r w:rsidRPr="00BB7497">
        <w:rPr>
          <w:i/>
          <w:iCs/>
        </w:rPr>
        <w:t xml:space="preserve">Fig. </w:t>
      </w:r>
      <w:r w:rsidR="00C94898">
        <w:rPr>
          <w:i/>
          <w:iCs/>
        </w:rPr>
        <w:t>7.</w:t>
      </w:r>
      <w:r w:rsidRPr="00BB7497">
        <w:rPr>
          <w:i/>
          <w:iCs/>
        </w:rPr>
        <w:t xml:space="preserve"> </w:t>
      </w:r>
      <w:r>
        <w:rPr>
          <w:i/>
          <w:iCs/>
        </w:rPr>
        <w:t>Curved Scattering Neutron Distribution</w:t>
      </w:r>
    </w:p>
    <w:p w14:paraId="07D42293" w14:textId="703F1EFE" w:rsidR="004A3589" w:rsidRDefault="004A3589" w:rsidP="004A3589">
      <w:pPr>
        <w:pStyle w:val="BodyTextIndent"/>
        <w:rPr>
          <w:i/>
          <w:iCs/>
        </w:rPr>
      </w:pPr>
    </w:p>
    <w:p w14:paraId="4094DBF4" w14:textId="5DB8C663" w:rsidR="004A3589" w:rsidRDefault="004A3589" w:rsidP="004C4D75">
      <w:pPr>
        <w:pStyle w:val="BodyTextIndent"/>
        <w:ind w:firstLine="0"/>
        <w:rPr>
          <w:i/>
          <w:iCs/>
        </w:rPr>
      </w:pPr>
      <w:r>
        <w:rPr>
          <w:noProof/>
        </w:rPr>
        <w:drawing>
          <wp:inline distT="0" distB="0" distL="0" distR="0" wp14:anchorId="149FACCB" wp14:editId="75518D1B">
            <wp:extent cx="3028950" cy="2018812"/>
            <wp:effectExtent l="0" t="0" r="0" b="635"/>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3">
                      <a:extLst>
                        <a:ext uri="{28A0092B-C50C-407E-A947-70E740481C1C}">
                          <a14:useLocalDpi xmlns:a14="http://schemas.microsoft.com/office/drawing/2010/main" val="0"/>
                        </a:ext>
                      </a:extLst>
                    </a:blip>
                    <a:srcRect t="11145"/>
                    <a:stretch/>
                  </pic:blipFill>
                  <pic:spPr bwMode="auto">
                    <a:xfrm>
                      <a:off x="0" y="0"/>
                      <a:ext cx="3028950" cy="2018812"/>
                    </a:xfrm>
                    <a:prstGeom prst="rect">
                      <a:avLst/>
                    </a:prstGeom>
                    <a:ln>
                      <a:noFill/>
                    </a:ln>
                    <a:extLst>
                      <a:ext uri="{53640926-AAD7-44D8-BBD7-CCE9431645EC}">
                        <a14:shadowObscured xmlns:a14="http://schemas.microsoft.com/office/drawing/2010/main"/>
                      </a:ext>
                    </a:extLst>
                  </pic:spPr>
                </pic:pic>
              </a:graphicData>
            </a:graphic>
          </wp:inline>
        </w:drawing>
      </w:r>
    </w:p>
    <w:p w14:paraId="33BB9394" w14:textId="57F11011" w:rsidR="004A3589" w:rsidRDefault="004A3589" w:rsidP="00DB67A4">
      <w:pPr>
        <w:pStyle w:val="BodyTextIndent"/>
        <w:rPr>
          <w:i/>
          <w:iCs/>
        </w:rPr>
      </w:pPr>
      <w:r w:rsidRPr="00BB7497">
        <w:rPr>
          <w:i/>
          <w:iCs/>
        </w:rPr>
        <w:t xml:space="preserve">Fig. </w:t>
      </w:r>
      <w:r w:rsidR="00C94898">
        <w:rPr>
          <w:i/>
          <w:iCs/>
        </w:rPr>
        <w:t>8</w:t>
      </w:r>
      <w:r w:rsidRPr="00BB7497">
        <w:rPr>
          <w:i/>
          <w:iCs/>
        </w:rPr>
        <w:t xml:space="preserve">. </w:t>
      </w:r>
      <w:r>
        <w:rPr>
          <w:i/>
          <w:iCs/>
        </w:rPr>
        <w:t>Flat Scattering Neutron Distribution</w:t>
      </w:r>
    </w:p>
    <w:p w14:paraId="55256ECA" w14:textId="0EE38414" w:rsidR="004A3589" w:rsidRDefault="004A3589" w:rsidP="004A3589">
      <w:pPr>
        <w:pStyle w:val="BodyTextIndent"/>
        <w:rPr>
          <w:bCs/>
          <w:sz w:val="22"/>
          <w:szCs w:val="22"/>
        </w:rPr>
      </w:pPr>
    </w:p>
    <w:p w14:paraId="494EB713" w14:textId="05F00C92" w:rsidR="004A3589" w:rsidRPr="004A3589" w:rsidRDefault="004A3589" w:rsidP="004C4D75">
      <w:pPr>
        <w:pStyle w:val="BodyTextIndent"/>
        <w:ind w:firstLine="0"/>
        <w:rPr>
          <w:bCs/>
          <w:sz w:val="22"/>
          <w:szCs w:val="22"/>
        </w:rPr>
      </w:pPr>
      <w:r w:rsidRPr="004A3589">
        <w:rPr>
          <w:bCs/>
          <w:noProof/>
          <w:sz w:val="22"/>
          <w:szCs w:val="22"/>
        </w:rPr>
        <w:drawing>
          <wp:inline distT="0" distB="0" distL="0" distR="0" wp14:anchorId="651EE5CC" wp14:editId="7A80DF43">
            <wp:extent cx="3028950" cy="2032880"/>
            <wp:effectExtent l="0" t="0" r="0" b="5715"/>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4">
                      <a:extLst>
                        <a:ext uri="{28A0092B-C50C-407E-A947-70E740481C1C}">
                          <a14:useLocalDpi xmlns:a14="http://schemas.microsoft.com/office/drawing/2010/main" val="0"/>
                        </a:ext>
                      </a:extLst>
                    </a:blip>
                    <a:srcRect t="10526"/>
                    <a:stretch/>
                  </pic:blipFill>
                  <pic:spPr bwMode="auto">
                    <a:xfrm>
                      <a:off x="0" y="0"/>
                      <a:ext cx="3028950" cy="2032880"/>
                    </a:xfrm>
                    <a:prstGeom prst="rect">
                      <a:avLst/>
                    </a:prstGeom>
                    <a:ln>
                      <a:noFill/>
                    </a:ln>
                    <a:extLst>
                      <a:ext uri="{53640926-AAD7-44D8-BBD7-CCE9431645EC}">
                        <a14:shadowObscured xmlns:a14="http://schemas.microsoft.com/office/drawing/2010/main"/>
                      </a:ext>
                    </a:extLst>
                  </pic:spPr>
                </pic:pic>
              </a:graphicData>
            </a:graphic>
          </wp:inline>
        </w:drawing>
      </w:r>
    </w:p>
    <w:p w14:paraId="721A193B" w14:textId="4F0AA64C" w:rsidR="004A3589" w:rsidRDefault="004A3589">
      <w:pPr>
        <w:pStyle w:val="BodyTextIndent"/>
        <w:rPr>
          <w:i/>
          <w:iCs/>
        </w:rPr>
      </w:pPr>
      <w:r w:rsidRPr="00BB7497">
        <w:rPr>
          <w:i/>
          <w:iCs/>
        </w:rPr>
        <w:t xml:space="preserve">Fig. </w:t>
      </w:r>
      <w:r w:rsidR="00C94898">
        <w:rPr>
          <w:i/>
          <w:iCs/>
        </w:rPr>
        <w:t>9</w:t>
      </w:r>
      <w:r w:rsidRPr="00BB7497">
        <w:rPr>
          <w:i/>
          <w:iCs/>
        </w:rPr>
        <w:t xml:space="preserve">. </w:t>
      </w:r>
      <w:r>
        <w:rPr>
          <w:i/>
          <w:iCs/>
        </w:rPr>
        <w:t>Curved Flux Neutron Distribution</w:t>
      </w:r>
    </w:p>
    <w:p w14:paraId="14F8E100" w14:textId="2ADC85D5" w:rsidR="004A3589" w:rsidRDefault="004A3589" w:rsidP="004A3589">
      <w:pPr>
        <w:pStyle w:val="BodyTextIndent"/>
        <w:rPr>
          <w:i/>
          <w:iCs/>
        </w:rPr>
      </w:pPr>
    </w:p>
    <w:p w14:paraId="69070522" w14:textId="12A6B46F" w:rsidR="004A3589" w:rsidRDefault="004A3589" w:rsidP="004C4D75">
      <w:pPr>
        <w:pStyle w:val="BodyTextIndent"/>
        <w:ind w:firstLine="0"/>
        <w:rPr>
          <w:i/>
          <w:iCs/>
        </w:rPr>
      </w:pPr>
      <w:r>
        <w:rPr>
          <w:noProof/>
        </w:rPr>
        <w:drawing>
          <wp:inline distT="0" distB="0" distL="0" distR="0" wp14:anchorId="2064CE8F" wp14:editId="206DEC80">
            <wp:extent cx="3028950" cy="2046849"/>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a:extLst>
                        <a:ext uri="{28A0092B-C50C-407E-A947-70E740481C1C}">
                          <a14:useLocalDpi xmlns:a14="http://schemas.microsoft.com/office/drawing/2010/main" val="0"/>
                        </a:ext>
                      </a:extLst>
                    </a:blip>
                    <a:srcRect l="-232" t="10526" r="232" b="-615"/>
                    <a:stretch/>
                  </pic:blipFill>
                  <pic:spPr bwMode="auto">
                    <a:xfrm>
                      <a:off x="0" y="0"/>
                      <a:ext cx="3028950" cy="2046849"/>
                    </a:xfrm>
                    <a:prstGeom prst="rect">
                      <a:avLst/>
                    </a:prstGeom>
                    <a:ln>
                      <a:noFill/>
                    </a:ln>
                    <a:extLst>
                      <a:ext uri="{53640926-AAD7-44D8-BBD7-CCE9431645EC}">
                        <a14:shadowObscured xmlns:a14="http://schemas.microsoft.com/office/drawing/2010/main"/>
                      </a:ext>
                    </a:extLst>
                  </pic:spPr>
                </pic:pic>
              </a:graphicData>
            </a:graphic>
          </wp:inline>
        </w:drawing>
      </w:r>
    </w:p>
    <w:p w14:paraId="0EC056C5" w14:textId="3BD3F714" w:rsidR="004A3589" w:rsidRDefault="004A3589">
      <w:pPr>
        <w:pStyle w:val="BodyTextIndent"/>
        <w:rPr>
          <w:i/>
          <w:iCs/>
        </w:rPr>
      </w:pPr>
      <w:r w:rsidRPr="00BB7497">
        <w:rPr>
          <w:i/>
          <w:iCs/>
        </w:rPr>
        <w:t>Fig.</w:t>
      </w:r>
      <w:r w:rsidR="00C94898">
        <w:rPr>
          <w:i/>
          <w:iCs/>
        </w:rPr>
        <w:t xml:space="preserve"> 10. </w:t>
      </w:r>
      <w:r>
        <w:rPr>
          <w:i/>
          <w:iCs/>
        </w:rPr>
        <w:t>Flat Flux Neutron Distribution</w:t>
      </w:r>
    </w:p>
    <w:p w14:paraId="0C0D3795" w14:textId="6D87F484" w:rsidR="004A3589" w:rsidRDefault="004A3589" w:rsidP="00A73779">
      <w:pPr>
        <w:pStyle w:val="BodyTextIndent"/>
        <w:jc w:val="left"/>
        <w:rPr>
          <w:i/>
          <w:iCs/>
        </w:rPr>
      </w:pPr>
    </w:p>
    <w:p w14:paraId="13BC66C3" w14:textId="370F20C2" w:rsidR="004A3589" w:rsidRDefault="004A3589" w:rsidP="004C4D75">
      <w:pPr>
        <w:pStyle w:val="BodyTextIndent"/>
        <w:ind w:firstLine="0"/>
        <w:rPr>
          <w:i/>
          <w:iCs/>
        </w:rPr>
      </w:pPr>
      <w:r w:rsidRPr="004A3589">
        <w:rPr>
          <w:i/>
          <w:iCs/>
          <w:noProof/>
        </w:rPr>
        <w:drawing>
          <wp:inline distT="0" distB="0" distL="0" distR="0" wp14:anchorId="78718260" wp14:editId="5C823504">
            <wp:extent cx="3028497" cy="2334846"/>
            <wp:effectExtent l="0" t="0" r="635" b="889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6" cstate="print">
                      <a:extLst>
                        <a:ext uri="{28A0092B-C50C-407E-A947-70E740481C1C}">
                          <a14:useLocalDpi xmlns:a14="http://schemas.microsoft.com/office/drawing/2010/main" val="0"/>
                        </a:ext>
                      </a:extLst>
                    </a:blip>
                    <a:srcRect t="9290" b="13614"/>
                    <a:stretch/>
                  </pic:blipFill>
                  <pic:spPr bwMode="auto">
                    <a:xfrm>
                      <a:off x="0" y="0"/>
                      <a:ext cx="3028950" cy="2335195"/>
                    </a:xfrm>
                    <a:prstGeom prst="rect">
                      <a:avLst/>
                    </a:prstGeom>
                    <a:ln>
                      <a:noFill/>
                    </a:ln>
                    <a:extLst>
                      <a:ext uri="{53640926-AAD7-44D8-BBD7-CCE9431645EC}">
                        <a14:shadowObscured xmlns:a14="http://schemas.microsoft.com/office/drawing/2010/main"/>
                      </a:ext>
                    </a:extLst>
                  </pic:spPr>
                </pic:pic>
              </a:graphicData>
            </a:graphic>
          </wp:inline>
        </w:drawing>
      </w:r>
    </w:p>
    <w:p w14:paraId="38A5DD41" w14:textId="1DEAE3E2" w:rsidR="004A3589" w:rsidRDefault="004A3589">
      <w:pPr>
        <w:pStyle w:val="BodyTextIndent"/>
        <w:jc w:val="left"/>
        <w:rPr>
          <w:i/>
          <w:iCs/>
        </w:rPr>
      </w:pPr>
      <w:r w:rsidRPr="00BB7497">
        <w:rPr>
          <w:i/>
          <w:iCs/>
        </w:rPr>
        <w:t xml:space="preserve">Fig. </w:t>
      </w:r>
      <w:r w:rsidR="00C94898" w:rsidRPr="00BB7497">
        <w:rPr>
          <w:i/>
          <w:iCs/>
        </w:rPr>
        <w:t>1</w:t>
      </w:r>
      <w:r w:rsidR="00C94898">
        <w:rPr>
          <w:i/>
          <w:iCs/>
        </w:rPr>
        <w:t>1</w:t>
      </w:r>
      <w:r w:rsidRPr="00BB7497">
        <w:rPr>
          <w:i/>
          <w:iCs/>
        </w:rPr>
        <w:t xml:space="preserve">. </w:t>
      </w:r>
      <w:r>
        <w:rPr>
          <w:i/>
          <w:iCs/>
        </w:rPr>
        <w:t xml:space="preserve">Flux of Bare Curved and Flat Elements </w:t>
      </w:r>
      <w:r w:rsidR="004C4D75">
        <w:rPr>
          <w:i/>
          <w:iCs/>
        </w:rPr>
        <w:t xml:space="preserve">and the Difference Between Them </w:t>
      </w:r>
      <w:r>
        <w:rPr>
          <w:i/>
          <w:iCs/>
        </w:rPr>
        <w:t>Among X-a</w:t>
      </w:r>
      <w:r w:rsidR="004C4D75">
        <w:rPr>
          <w:i/>
          <w:iCs/>
        </w:rPr>
        <w:t>xis</w:t>
      </w:r>
      <w:r w:rsidRPr="00BB7497">
        <w:rPr>
          <w:i/>
          <w:iCs/>
        </w:rPr>
        <w:t xml:space="preserve"> </w:t>
      </w:r>
    </w:p>
    <w:p w14:paraId="1B202506" w14:textId="3B390749" w:rsidR="004C4D75" w:rsidRDefault="004C4D75" w:rsidP="004C4D75">
      <w:pPr>
        <w:pStyle w:val="BodyTextIndent"/>
        <w:jc w:val="left"/>
        <w:rPr>
          <w:i/>
          <w:iCs/>
        </w:rPr>
      </w:pPr>
    </w:p>
    <w:p w14:paraId="15D95D87" w14:textId="30AADDA1" w:rsidR="004C4D75" w:rsidRDefault="004C4D75" w:rsidP="004C4D75">
      <w:pPr>
        <w:pStyle w:val="BodyTextIndent"/>
        <w:ind w:firstLine="0"/>
        <w:jc w:val="left"/>
        <w:rPr>
          <w:i/>
          <w:iCs/>
        </w:rPr>
      </w:pPr>
      <w:r>
        <w:rPr>
          <w:noProof/>
        </w:rPr>
        <w:drawing>
          <wp:inline distT="0" distB="0" distL="0" distR="0" wp14:anchorId="2FF7968F" wp14:editId="4CC6D101">
            <wp:extent cx="3028950" cy="227139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028950" cy="2271395"/>
                    </a:xfrm>
                    <a:prstGeom prst="rect">
                      <a:avLst/>
                    </a:prstGeom>
                  </pic:spPr>
                </pic:pic>
              </a:graphicData>
            </a:graphic>
          </wp:inline>
        </w:drawing>
      </w:r>
    </w:p>
    <w:p w14:paraId="20C9F58A" w14:textId="667D4EB1" w:rsidR="004C4D75" w:rsidRDefault="004C4D75">
      <w:pPr>
        <w:pStyle w:val="BodyTextIndent"/>
        <w:jc w:val="left"/>
        <w:rPr>
          <w:i/>
          <w:iCs/>
        </w:rPr>
      </w:pPr>
      <w:r w:rsidRPr="00BB7497">
        <w:rPr>
          <w:i/>
          <w:iCs/>
        </w:rPr>
        <w:t xml:space="preserve">Fig. </w:t>
      </w:r>
      <w:r w:rsidR="00C94898">
        <w:rPr>
          <w:i/>
          <w:iCs/>
        </w:rPr>
        <w:t>12</w:t>
      </w:r>
      <w:r w:rsidRPr="00BB7497">
        <w:rPr>
          <w:i/>
          <w:iCs/>
        </w:rPr>
        <w:t xml:space="preserve">. </w:t>
      </w:r>
      <w:r>
        <w:rPr>
          <w:i/>
          <w:iCs/>
        </w:rPr>
        <w:t>Special Difference of the Flux of Bare Curved and Flat Elements</w:t>
      </w:r>
      <w:r w:rsidRPr="00BB7497">
        <w:rPr>
          <w:i/>
          <w:iCs/>
        </w:rPr>
        <w:t xml:space="preserve"> </w:t>
      </w:r>
    </w:p>
    <w:p w14:paraId="260536E4" w14:textId="36ECC208" w:rsidR="004C4D75" w:rsidRDefault="004C4D75" w:rsidP="004C4D75">
      <w:pPr>
        <w:pStyle w:val="BodyTextIndent"/>
        <w:ind w:firstLine="0"/>
        <w:jc w:val="left"/>
        <w:rPr>
          <w:i/>
          <w:iCs/>
        </w:rPr>
      </w:pPr>
    </w:p>
    <w:p w14:paraId="1ADCE736" w14:textId="0DE21239" w:rsidR="00C94898" w:rsidRDefault="00C94898" w:rsidP="004C4D75">
      <w:pPr>
        <w:pStyle w:val="BodyTextIndent"/>
        <w:ind w:firstLine="0"/>
        <w:jc w:val="left"/>
        <w:rPr>
          <w:i/>
          <w:iCs/>
        </w:rPr>
      </w:pPr>
    </w:p>
    <w:p w14:paraId="34E1CE07" w14:textId="77777777" w:rsidR="00C94898" w:rsidRDefault="00C94898" w:rsidP="004C4D75">
      <w:pPr>
        <w:pStyle w:val="BodyTextIndent"/>
        <w:ind w:firstLine="0"/>
        <w:jc w:val="left"/>
        <w:rPr>
          <w:i/>
          <w:iCs/>
        </w:rPr>
      </w:pPr>
    </w:p>
    <w:p w14:paraId="3D849DD9" w14:textId="1B309391" w:rsidR="004C4D75" w:rsidRDefault="00155D92" w:rsidP="003B36BB">
      <w:pPr>
        <w:pStyle w:val="BodyTextIndent"/>
        <w:rPr>
          <w:i/>
          <w:iCs/>
        </w:rPr>
      </w:pPr>
      <w:bookmarkStart w:id="1" w:name="_GoBack"/>
      <w:r w:rsidRPr="00BA6131">
        <w:rPr>
          <w:b/>
          <w:bCs/>
          <w:sz w:val="22"/>
          <w:szCs w:val="22"/>
        </w:rPr>
        <w:lastRenderedPageBreak/>
        <w:t>I</w:t>
      </w:r>
      <w:r>
        <w:rPr>
          <w:b/>
          <w:bCs/>
          <w:sz w:val="22"/>
          <w:szCs w:val="22"/>
        </w:rPr>
        <w:t>V</w:t>
      </w:r>
      <w:r w:rsidRPr="00422F64">
        <w:rPr>
          <w:b/>
          <w:bCs/>
          <w:i/>
          <w:iCs/>
          <w:sz w:val="22"/>
          <w:szCs w:val="22"/>
        </w:rPr>
        <w:t>.</w:t>
      </w:r>
      <w:r>
        <w:rPr>
          <w:b/>
          <w:bCs/>
          <w:i/>
          <w:iCs/>
          <w:sz w:val="22"/>
          <w:szCs w:val="22"/>
        </w:rPr>
        <w:t>D</w:t>
      </w:r>
      <w:r w:rsidRPr="00422F64">
        <w:rPr>
          <w:b/>
          <w:bCs/>
          <w:i/>
          <w:iCs/>
          <w:sz w:val="22"/>
          <w:szCs w:val="22"/>
        </w:rPr>
        <w:t xml:space="preserve">. </w:t>
      </w:r>
      <w:r w:rsidRPr="00155D92">
        <w:rPr>
          <w:b/>
          <w:bCs/>
          <w:i/>
          <w:iCs/>
          <w:sz w:val="22"/>
          <w:szCs w:val="22"/>
        </w:rPr>
        <w:t>Volume Statistics:</w:t>
      </w:r>
    </w:p>
    <w:bookmarkEnd w:id="1"/>
    <w:p w14:paraId="28B5B421" w14:textId="676C3988" w:rsidR="00441079" w:rsidRDefault="00155D92">
      <w:pPr>
        <w:pStyle w:val="BodyTextIndent"/>
        <w:rPr>
          <w:bCs/>
          <w:sz w:val="22"/>
          <w:szCs w:val="22"/>
        </w:rPr>
      </w:pPr>
      <w:r w:rsidRPr="00155D92">
        <w:rPr>
          <w:bCs/>
          <w:sz w:val="22"/>
          <w:szCs w:val="22"/>
        </w:rPr>
        <w:t xml:space="preserve">Volume statistics were obtained for both fuel element models and are </w:t>
      </w:r>
      <w:r w:rsidRPr="00DB67A4">
        <w:rPr>
          <w:bCs/>
          <w:sz w:val="22"/>
          <w:szCs w:val="22"/>
        </w:rPr>
        <w:t xml:space="preserve">summarized in Table </w:t>
      </w:r>
      <w:r w:rsidR="00DB67A4">
        <w:rPr>
          <w:bCs/>
          <w:sz w:val="22"/>
          <w:szCs w:val="22"/>
        </w:rPr>
        <w:t>III</w:t>
      </w:r>
      <w:r w:rsidRPr="00DB67A4">
        <w:rPr>
          <w:bCs/>
          <w:sz w:val="22"/>
          <w:szCs w:val="22"/>
        </w:rPr>
        <w:t>.</w:t>
      </w:r>
    </w:p>
    <w:p w14:paraId="23CB265D" w14:textId="77777777" w:rsidR="00441079" w:rsidRDefault="00441079" w:rsidP="00155D92">
      <w:pPr>
        <w:pStyle w:val="BodyTextIndent"/>
        <w:rPr>
          <w:bCs/>
          <w:sz w:val="22"/>
          <w:szCs w:val="22"/>
        </w:rPr>
      </w:pPr>
    </w:p>
    <w:p w14:paraId="64D3AB5E" w14:textId="787A59D9" w:rsidR="00155D92" w:rsidRPr="00BB7497" w:rsidRDefault="00155D92" w:rsidP="00196090">
      <w:pPr>
        <w:pStyle w:val="BodyTextIndent"/>
        <w:jc w:val="left"/>
        <w:rPr>
          <w:i/>
          <w:iCs/>
        </w:rPr>
      </w:pPr>
      <w:r w:rsidRPr="00DB67A4">
        <w:rPr>
          <w:i/>
          <w:iCs/>
        </w:rPr>
        <w:t xml:space="preserve">Table </w:t>
      </w:r>
      <w:r w:rsidR="00DB67A4" w:rsidRPr="00DB67A4">
        <w:rPr>
          <w:i/>
          <w:iCs/>
        </w:rPr>
        <w:t>II</w:t>
      </w:r>
      <w:r w:rsidRPr="00DB67A4">
        <w:rPr>
          <w:i/>
          <w:iCs/>
        </w:rPr>
        <w:t>I</w:t>
      </w:r>
      <w:r w:rsidR="00196090" w:rsidRPr="00DB67A4">
        <w:rPr>
          <w:i/>
          <w:iCs/>
        </w:rPr>
        <w:t>.1</w:t>
      </w:r>
      <w:r w:rsidRPr="00DB67A4">
        <w:rPr>
          <w:i/>
          <w:iCs/>
        </w:rPr>
        <w:t xml:space="preserve"> </w:t>
      </w:r>
      <w:r w:rsidR="00196090" w:rsidRPr="00DB67A4">
        <w:rPr>
          <w:i/>
          <w:iCs/>
        </w:rPr>
        <w:t>Atomic</w:t>
      </w:r>
      <w:r w:rsidR="00196090">
        <w:rPr>
          <w:i/>
          <w:iCs/>
        </w:rPr>
        <w:t xml:space="preserve"> Statistics Calculation for the Curved Fuel Element</w:t>
      </w:r>
    </w:p>
    <w:p w14:paraId="27621C1A" w14:textId="77777777" w:rsidR="00155D92" w:rsidRDefault="00155D92" w:rsidP="00155D92">
      <w:pPr>
        <w:pStyle w:val="BodyTextIndent"/>
        <w:jc w:val="left"/>
        <w:rPr>
          <w:sz w:val="18"/>
        </w:rPr>
      </w:pPr>
    </w:p>
    <w:tbl>
      <w:tblPr>
        <w:tblW w:w="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511"/>
        <w:gridCol w:w="502"/>
        <w:gridCol w:w="1518"/>
      </w:tblGrid>
      <w:tr w:rsidR="00196090" w:rsidRPr="00F90934" w14:paraId="3EAD5651" w14:textId="77777777" w:rsidTr="007964E0">
        <w:trPr>
          <w:trHeight w:val="221"/>
        </w:trPr>
        <w:tc>
          <w:tcPr>
            <w:tcW w:w="1165" w:type="dxa"/>
            <w:vMerge w:val="restart"/>
            <w:tcBorders>
              <w:top w:val="single" w:sz="4" w:space="0" w:color="auto"/>
              <w:left w:val="single" w:sz="4" w:space="0" w:color="auto"/>
              <w:bottom w:val="single" w:sz="4" w:space="0" w:color="auto"/>
              <w:right w:val="single" w:sz="4" w:space="0" w:color="auto"/>
            </w:tcBorders>
            <w:vAlign w:val="center"/>
          </w:tcPr>
          <w:p w14:paraId="29DDBE9F" w14:textId="77777777" w:rsidR="00196090" w:rsidRPr="00F90934" w:rsidRDefault="00196090" w:rsidP="007D4C41">
            <w:pPr>
              <w:pStyle w:val="BodyTextIndent"/>
              <w:ind w:firstLine="0"/>
              <w:jc w:val="left"/>
              <w:rPr>
                <w:sz w:val="18"/>
                <w:szCs w:val="18"/>
              </w:rPr>
            </w:pPr>
            <w:r w:rsidRPr="00F90934">
              <w:rPr>
                <w:sz w:val="18"/>
                <w:szCs w:val="18"/>
              </w:rPr>
              <w:t>Atoms</w:t>
            </w:r>
          </w:p>
        </w:tc>
        <w:tc>
          <w:tcPr>
            <w:tcW w:w="3531" w:type="dxa"/>
            <w:gridSpan w:val="3"/>
            <w:tcBorders>
              <w:top w:val="single" w:sz="4" w:space="0" w:color="auto"/>
              <w:left w:val="single" w:sz="4" w:space="0" w:color="auto"/>
              <w:bottom w:val="single" w:sz="4" w:space="0" w:color="auto"/>
              <w:right w:val="single" w:sz="4" w:space="0" w:color="auto"/>
            </w:tcBorders>
            <w:vAlign w:val="center"/>
          </w:tcPr>
          <w:p w14:paraId="3AE6ADFB" w14:textId="77777777" w:rsidR="00196090" w:rsidRPr="00F90934" w:rsidRDefault="00196090" w:rsidP="007D4C41">
            <w:pPr>
              <w:pStyle w:val="BodyTextIndent"/>
              <w:ind w:firstLine="0"/>
              <w:jc w:val="center"/>
              <w:rPr>
                <w:sz w:val="18"/>
                <w:szCs w:val="18"/>
              </w:rPr>
            </w:pPr>
            <w:r w:rsidRPr="00F90934">
              <w:rPr>
                <w:sz w:val="18"/>
                <w:szCs w:val="18"/>
              </w:rPr>
              <w:t>Curved</w:t>
            </w:r>
          </w:p>
        </w:tc>
      </w:tr>
      <w:tr w:rsidR="00F90934" w:rsidRPr="00F90934" w14:paraId="5635722A" w14:textId="77777777" w:rsidTr="007964E0">
        <w:trPr>
          <w:trHeight w:val="231"/>
        </w:trPr>
        <w:tc>
          <w:tcPr>
            <w:tcW w:w="1165" w:type="dxa"/>
            <w:vMerge/>
            <w:tcBorders>
              <w:top w:val="single" w:sz="4" w:space="0" w:color="auto"/>
              <w:left w:val="single" w:sz="4" w:space="0" w:color="auto"/>
              <w:bottom w:val="single" w:sz="4" w:space="0" w:color="auto"/>
              <w:right w:val="single" w:sz="4" w:space="0" w:color="auto"/>
            </w:tcBorders>
            <w:vAlign w:val="center"/>
          </w:tcPr>
          <w:p w14:paraId="1AD53CFE" w14:textId="77777777" w:rsidR="00F90934" w:rsidRPr="00F90934" w:rsidRDefault="00F90934" w:rsidP="007D4C41">
            <w:pPr>
              <w:pStyle w:val="BodyTextIndent"/>
              <w:ind w:firstLine="0"/>
              <w:jc w:val="left"/>
              <w:rPr>
                <w:sz w:val="18"/>
                <w:szCs w:val="18"/>
              </w:rPr>
            </w:pPr>
          </w:p>
        </w:tc>
        <w:tc>
          <w:tcPr>
            <w:tcW w:w="1511" w:type="dxa"/>
            <w:tcBorders>
              <w:top w:val="single" w:sz="4" w:space="0" w:color="auto"/>
              <w:left w:val="single" w:sz="4" w:space="0" w:color="auto"/>
              <w:bottom w:val="nil"/>
              <w:right w:val="single" w:sz="4" w:space="0" w:color="auto"/>
            </w:tcBorders>
            <w:vAlign w:val="center"/>
          </w:tcPr>
          <w:p w14:paraId="01918E68" w14:textId="77777777" w:rsidR="00F90934" w:rsidRPr="00F90934" w:rsidRDefault="00F90934" w:rsidP="007D4C41">
            <w:pPr>
              <w:pStyle w:val="BodyTextIndent"/>
              <w:ind w:firstLine="0"/>
              <w:jc w:val="center"/>
              <w:rPr>
                <w:sz w:val="18"/>
                <w:szCs w:val="18"/>
              </w:rPr>
            </w:pPr>
            <m:oMathPara>
              <m:oMath>
                <m:r>
                  <m:rPr>
                    <m:sty m:val="bi"/>
                  </m:rPr>
                  <w:rPr>
                    <w:rFonts w:ascii="Cambria Math" w:hAnsi="Cambria Math"/>
                    <w:sz w:val="18"/>
                    <w:szCs w:val="18"/>
                  </w:rPr>
                  <m:t>atoms</m:t>
                </m:r>
                <m:r>
                  <m:rPr>
                    <m:sty m:val="p"/>
                  </m:rPr>
                  <w:rPr>
                    <w:rFonts w:ascii="Cambria Math" w:hAnsi="Cambria Math"/>
                    <w:sz w:val="18"/>
                    <w:szCs w:val="18"/>
                  </w:rPr>
                  <m:t xml:space="preserve">  </m:t>
                </m:r>
              </m:oMath>
            </m:oMathPara>
          </w:p>
        </w:tc>
        <w:tc>
          <w:tcPr>
            <w:tcW w:w="502" w:type="dxa"/>
            <w:vMerge w:val="restart"/>
            <w:tcBorders>
              <w:top w:val="single" w:sz="4" w:space="0" w:color="auto"/>
              <w:left w:val="single" w:sz="4" w:space="0" w:color="auto"/>
              <w:right w:val="single" w:sz="4" w:space="0" w:color="auto"/>
            </w:tcBorders>
            <w:vAlign w:val="center"/>
          </w:tcPr>
          <w:p w14:paraId="4810CCC0" w14:textId="77777777" w:rsidR="00F90934" w:rsidRPr="00F90934" w:rsidRDefault="00F90934"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single" w:sz="4" w:space="0" w:color="auto"/>
              <w:left w:val="single" w:sz="4" w:space="0" w:color="auto"/>
              <w:bottom w:val="nil"/>
              <w:right w:val="single" w:sz="4" w:space="0" w:color="auto"/>
            </w:tcBorders>
            <w:vAlign w:val="center"/>
          </w:tcPr>
          <w:p w14:paraId="478BB898" w14:textId="77777777" w:rsidR="00F90934" w:rsidRPr="00F90934" w:rsidRDefault="00F90934" w:rsidP="007D4C41">
            <w:pPr>
              <w:pStyle w:val="BodyTextIndent"/>
              <w:ind w:firstLine="0"/>
              <w:jc w:val="center"/>
              <w:rPr>
                <w:sz w:val="18"/>
                <w:szCs w:val="18"/>
              </w:rPr>
            </w:pPr>
            <m:oMathPara>
              <m:oMath>
                <m:r>
                  <m:rPr>
                    <m:sty m:val="bi"/>
                  </m:rPr>
                  <w:rPr>
                    <w:rFonts w:ascii="Cambria Math" w:hAnsi="Cambria Math"/>
                    <w:sz w:val="18"/>
                    <w:szCs w:val="18"/>
                  </w:rPr>
                  <m:t>σ</m:t>
                </m:r>
              </m:oMath>
            </m:oMathPara>
          </w:p>
        </w:tc>
      </w:tr>
      <w:tr w:rsidR="00F90934" w:rsidRPr="00F90934" w14:paraId="04360081" w14:textId="77777777" w:rsidTr="007964E0">
        <w:trPr>
          <w:trHeight w:val="463"/>
        </w:trPr>
        <w:tc>
          <w:tcPr>
            <w:tcW w:w="1165" w:type="dxa"/>
            <w:vMerge/>
            <w:tcBorders>
              <w:top w:val="single" w:sz="4" w:space="0" w:color="auto"/>
              <w:left w:val="single" w:sz="4" w:space="0" w:color="auto"/>
              <w:bottom w:val="single" w:sz="4" w:space="0" w:color="auto"/>
              <w:right w:val="single" w:sz="4" w:space="0" w:color="auto"/>
            </w:tcBorders>
          </w:tcPr>
          <w:p w14:paraId="5B699205" w14:textId="77777777" w:rsidR="00F90934" w:rsidRPr="00F90934" w:rsidRDefault="00F90934" w:rsidP="007D4C41">
            <w:pPr>
              <w:pStyle w:val="BodyTextIndent"/>
              <w:ind w:firstLine="0"/>
              <w:jc w:val="left"/>
              <w:rPr>
                <w:sz w:val="18"/>
                <w:szCs w:val="18"/>
              </w:rPr>
            </w:pPr>
          </w:p>
        </w:tc>
        <w:tc>
          <w:tcPr>
            <w:tcW w:w="1511" w:type="dxa"/>
            <w:tcBorders>
              <w:top w:val="nil"/>
              <w:left w:val="single" w:sz="4" w:space="0" w:color="auto"/>
              <w:bottom w:val="single" w:sz="4" w:space="0" w:color="auto"/>
              <w:right w:val="single" w:sz="4" w:space="0" w:color="auto"/>
            </w:tcBorders>
            <w:vAlign w:val="center"/>
          </w:tcPr>
          <w:p w14:paraId="7C139EB5" w14:textId="77777777" w:rsidR="00F90934" w:rsidRPr="00F90934" w:rsidRDefault="00F90934" w:rsidP="007D4C41">
            <w:pPr>
              <w:pStyle w:val="BodyTextIndent"/>
              <w:ind w:firstLine="0"/>
              <w:jc w:val="center"/>
              <w:rPr>
                <w:sz w:val="18"/>
                <w:szCs w:val="18"/>
              </w:rPr>
            </w:pPr>
            <m:oMathPara>
              <m:oMath>
                <m:r>
                  <m:rPr>
                    <m:sty m:val="p"/>
                  </m:rPr>
                  <w:rPr>
                    <w:rFonts w:ascii="Cambria Math" w:hAnsi="Cambria Math"/>
                    <w:sz w:val="18"/>
                    <w:szCs w:val="18"/>
                  </w:rPr>
                  <m:t>[×</m:t>
                </m:r>
                <m:r>
                  <m:rPr>
                    <m:sty m:val="b"/>
                  </m:rPr>
                  <w:rPr>
                    <w:rFonts w:ascii="Cambria Math" w:hAnsi="Cambria Math"/>
                    <w:sz w:val="18"/>
                    <w:szCs w:val="18"/>
                  </w:rPr>
                  <m:t>1</m:t>
                </m:r>
                <m:sSup>
                  <m:sSupPr>
                    <m:ctrlPr>
                      <w:rPr>
                        <w:rFonts w:ascii="Cambria Math" w:hAnsi="Cambria Math"/>
                        <w:sz w:val="18"/>
                        <w:szCs w:val="18"/>
                      </w:rPr>
                    </m:ctrlPr>
                  </m:sSupPr>
                  <m:e>
                    <m:r>
                      <m:rPr>
                        <m:sty m:val="b"/>
                      </m:rPr>
                      <w:rPr>
                        <w:rFonts w:ascii="Cambria Math" w:hAnsi="Cambria Math"/>
                        <w:sz w:val="18"/>
                        <w:szCs w:val="18"/>
                      </w:rPr>
                      <m:t>0</m:t>
                    </m:r>
                  </m:e>
                  <m:sup>
                    <m:r>
                      <m:rPr>
                        <m:sty m:val="b"/>
                      </m:rPr>
                      <w:rPr>
                        <w:rFonts w:ascii="Cambria Math" w:hAnsi="Cambria Math"/>
                        <w:sz w:val="18"/>
                        <w:szCs w:val="18"/>
                      </w:rPr>
                      <m:t>21</m:t>
                    </m:r>
                  </m:sup>
                </m:sSup>
                <m:r>
                  <m:rPr>
                    <m:sty m:val="p"/>
                  </m:rPr>
                  <w:rPr>
                    <w:rFonts w:ascii="Cambria Math" w:hAnsi="Cambria Math"/>
                    <w:sz w:val="18"/>
                    <w:szCs w:val="18"/>
                  </w:rPr>
                  <m:t>]</m:t>
                </m:r>
              </m:oMath>
            </m:oMathPara>
          </w:p>
        </w:tc>
        <w:tc>
          <w:tcPr>
            <w:tcW w:w="502" w:type="dxa"/>
            <w:vMerge/>
            <w:tcBorders>
              <w:left w:val="single" w:sz="4" w:space="0" w:color="auto"/>
              <w:bottom w:val="single" w:sz="4" w:space="0" w:color="auto"/>
              <w:right w:val="single" w:sz="4" w:space="0" w:color="auto"/>
            </w:tcBorders>
            <w:vAlign w:val="center"/>
          </w:tcPr>
          <w:p w14:paraId="17BC7E3E" w14:textId="77777777" w:rsidR="00F90934" w:rsidRPr="00F90934" w:rsidRDefault="00F90934" w:rsidP="007D4C41">
            <w:pPr>
              <w:pStyle w:val="BodyTextIndent"/>
              <w:ind w:firstLine="0"/>
              <w:jc w:val="center"/>
              <w:rPr>
                <w:sz w:val="18"/>
                <w:szCs w:val="18"/>
              </w:rPr>
            </w:pPr>
          </w:p>
        </w:tc>
        <w:tc>
          <w:tcPr>
            <w:tcW w:w="1518" w:type="dxa"/>
            <w:tcBorders>
              <w:top w:val="nil"/>
              <w:left w:val="single" w:sz="4" w:space="0" w:color="auto"/>
              <w:bottom w:val="single" w:sz="4" w:space="0" w:color="auto"/>
              <w:right w:val="single" w:sz="4" w:space="0" w:color="auto"/>
            </w:tcBorders>
            <w:vAlign w:val="center"/>
          </w:tcPr>
          <w:p w14:paraId="3543C6FF" w14:textId="77777777" w:rsidR="00F90934" w:rsidRPr="00F90934" w:rsidRDefault="00F90934" w:rsidP="007D4C41">
            <w:pPr>
              <w:pStyle w:val="BodyTextIndent"/>
              <w:ind w:firstLine="0"/>
              <w:jc w:val="center"/>
              <w:rPr>
                <w:sz w:val="18"/>
                <w:szCs w:val="18"/>
              </w:rPr>
            </w:pPr>
            <m:oMathPara>
              <m:oMath>
                <m:r>
                  <m:rPr>
                    <m:sty m:val="p"/>
                  </m:rPr>
                  <w:rPr>
                    <w:rFonts w:ascii="Cambria Math" w:hAnsi="Cambria Math"/>
                    <w:sz w:val="18"/>
                    <w:szCs w:val="18"/>
                  </w:rPr>
                  <m:t>[×</m:t>
                </m:r>
                <m:r>
                  <m:rPr>
                    <m:sty m:val="b"/>
                  </m:rPr>
                  <w:rPr>
                    <w:rFonts w:ascii="Cambria Math" w:hAnsi="Cambria Math"/>
                    <w:sz w:val="18"/>
                    <w:szCs w:val="18"/>
                  </w:rPr>
                  <m:t>1</m:t>
                </m:r>
                <m:sSup>
                  <m:sSupPr>
                    <m:ctrlPr>
                      <w:rPr>
                        <w:rFonts w:ascii="Cambria Math" w:hAnsi="Cambria Math"/>
                        <w:sz w:val="18"/>
                        <w:szCs w:val="18"/>
                      </w:rPr>
                    </m:ctrlPr>
                  </m:sSupPr>
                  <m:e>
                    <m:r>
                      <m:rPr>
                        <m:sty m:val="b"/>
                      </m:rPr>
                      <w:rPr>
                        <w:rFonts w:ascii="Cambria Math" w:hAnsi="Cambria Math"/>
                        <w:sz w:val="18"/>
                        <w:szCs w:val="18"/>
                      </w:rPr>
                      <m:t>0</m:t>
                    </m:r>
                  </m:e>
                  <m:sup>
                    <m:r>
                      <m:rPr>
                        <m:sty m:val="b"/>
                      </m:rPr>
                      <w:rPr>
                        <w:rFonts w:ascii="Cambria Math" w:hAnsi="Cambria Math"/>
                        <w:sz w:val="18"/>
                        <w:szCs w:val="18"/>
                      </w:rPr>
                      <m:t>21</m:t>
                    </m:r>
                  </m:sup>
                </m:sSup>
                <m:r>
                  <m:rPr>
                    <m:sty m:val="p"/>
                  </m:rPr>
                  <w:rPr>
                    <w:rFonts w:ascii="Cambria Math" w:hAnsi="Cambria Math"/>
                    <w:sz w:val="18"/>
                    <w:szCs w:val="18"/>
                  </w:rPr>
                  <m:t>]</m:t>
                </m:r>
              </m:oMath>
            </m:oMathPara>
          </w:p>
        </w:tc>
      </w:tr>
      <w:tr w:rsidR="007964E0" w:rsidRPr="00F90934" w14:paraId="7DEF326C" w14:textId="77777777" w:rsidTr="007964E0">
        <w:trPr>
          <w:trHeight w:val="221"/>
        </w:trPr>
        <w:tc>
          <w:tcPr>
            <w:tcW w:w="1165" w:type="dxa"/>
            <w:tcBorders>
              <w:top w:val="single" w:sz="4" w:space="0" w:color="auto"/>
              <w:left w:val="single" w:sz="4" w:space="0" w:color="auto"/>
              <w:bottom w:val="nil"/>
              <w:right w:val="single" w:sz="4" w:space="0" w:color="auto"/>
            </w:tcBorders>
            <w:shd w:val="clear" w:color="auto" w:fill="auto"/>
            <w:vAlign w:val="bottom"/>
          </w:tcPr>
          <w:p w14:paraId="26BDFC81" w14:textId="77777777" w:rsidR="00196090" w:rsidRPr="00F90934" w:rsidRDefault="00196090" w:rsidP="007D4C41">
            <w:pPr>
              <w:pStyle w:val="BodyTextIndent"/>
              <w:ind w:firstLine="0"/>
              <w:jc w:val="left"/>
              <w:rPr>
                <w:sz w:val="18"/>
                <w:szCs w:val="18"/>
              </w:rPr>
            </w:pPr>
            <w:r w:rsidRPr="00F90934">
              <w:rPr>
                <w:sz w:val="18"/>
                <w:szCs w:val="18"/>
              </w:rPr>
              <w:t>U-238</w:t>
            </w:r>
          </w:p>
        </w:tc>
        <w:tc>
          <w:tcPr>
            <w:tcW w:w="1511" w:type="dxa"/>
            <w:tcBorders>
              <w:top w:val="single" w:sz="4" w:space="0" w:color="auto"/>
              <w:left w:val="single" w:sz="4" w:space="0" w:color="auto"/>
              <w:bottom w:val="nil"/>
              <w:right w:val="single" w:sz="4" w:space="0" w:color="auto"/>
            </w:tcBorders>
            <w:vAlign w:val="center"/>
          </w:tcPr>
          <w:p w14:paraId="618C97B6" w14:textId="77777777" w:rsidR="00196090" w:rsidRPr="00F90934" w:rsidRDefault="00196090" w:rsidP="007D4C41">
            <w:pPr>
              <w:pStyle w:val="BodyTextIndent"/>
              <w:ind w:firstLine="0"/>
              <w:jc w:val="center"/>
              <w:rPr>
                <w:sz w:val="18"/>
                <w:szCs w:val="18"/>
              </w:rPr>
            </w:pPr>
            <w:r w:rsidRPr="00F90934">
              <w:rPr>
                <w:sz w:val="18"/>
                <w:szCs w:val="18"/>
              </w:rPr>
              <w:t>2.79785</w:t>
            </w:r>
          </w:p>
        </w:tc>
        <w:tc>
          <w:tcPr>
            <w:tcW w:w="502" w:type="dxa"/>
            <w:tcBorders>
              <w:top w:val="single" w:sz="4" w:space="0" w:color="auto"/>
              <w:left w:val="single" w:sz="4" w:space="0" w:color="auto"/>
              <w:bottom w:val="nil"/>
              <w:right w:val="single" w:sz="4" w:space="0" w:color="auto"/>
            </w:tcBorders>
            <w:vAlign w:val="center"/>
          </w:tcPr>
          <w:p w14:paraId="69A4F975"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single" w:sz="4" w:space="0" w:color="auto"/>
              <w:left w:val="single" w:sz="4" w:space="0" w:color="auto"/>
              <w:bottom w:val="nil"/>
              <w:right w:val="single" w:sz="4" w:space="0" w:color="auto"/>
            </w:tcBorders>
          </w:tcPr>
          <w:p w14:paraId="7902DD42" w14:textId="77777777" w:rsidR="00196090" w:rsidRPr="00F90934" w:rsidRDefault="00196090" w:rsidP="007D4C41">
            <w:pPr>
              <w:pStyle w:val="BodyTextIndent"/>
              <w:ind w:firstLine="0"/>
              <w:jc w:val="center"/>
              <w:rPr>
                <w:sz w:val="18"/>
                <w:szCs w:val="18"/>
              </w:rPr>
            </w:pPr>
            <w:r w:rsidRPr="00F90934">
              <w:rPr>
                <w:sz w:val="18"/>
                <w:szCs w:val="18"/>
              </w:rPr>
              <w:t>0.00016</w:t>
            </w:r>
          </w:p>
        </w:tc>
      </w:tr>
      <w:tr w:rsidR="007964E0" w:rsidRPr="00F90934" w14:paraId="521E039D" w14:textId="77777777" w:rsidTr="007964E0">
        <w:trPr>
          <w:trHeight w:val="231"/>
        </w:trPr>
        <w:tc>
          <w:tcPr>
            <w:tcW w:w="1165" w:type="dxa"/>
            <w:tcBorders>
              <w:top w:val="nil"/>
              <w:left w:val="single" w:sz="4" w:space="0" w:color="auto"/>
              <w:bottom w:val="nil"/>
              <w:right w:val="single" w:sz="4" w:space="0" w:color="auto"/>
            </w:tcBorders>
            <w:shd w:val="clear" w:color="auto" w:fill="auto"/>
            <w:vAlign w:val="bottom"/>
          </w:tcPr>
          <w:p w14:paraId="5C6E4667" w14:textId="77777777" w:rsidR="00196090" w:rsidRPr="00F90934" w:rsidRDefault="00196090" w:rsidP="007D4C41">
            <w:pPr>
              <w:pStyle w:val="BodyTextIndent"/>
              <w:ind w:firstLine="0"/>
              <w:jc w:val="left"/>
              <w:rPr>
                <w:sz w:val="18"/>
                <w:szCs w:val="18"/>
              </w:rPr>
            </w:pPr>
            <w:r w:rsidRPr="00F90934">
              <w:rPr>
                <w:sz w:val="18"/>
                <w:szCs w:val="18"/>
              </w:rPr>
              <w:t>U-235</w:t>
            </w:r>
          </w:p>
        </w:tc>
        <w:tc>
          <w:tcPr>
            <w:tcW w:w="1511" w:type="dxa"/>
            <w:tcBorders>
              <w:top w:val="nil"/>
              <w:left w:val="single" w:sz="4" w:space="0" w:color="auto"/>
              <w:bottom w:val="nil"/>
              <w:right w:val="single" w:sz="4" w:space="0" w:color="auto"/>
            </w:tcBorders>
            <w:vAlign w:val="center"/>
          </w:tcPr>
          <w:p w14:paraId="0D8FD049" w14:textId="77777777" w:rsidR="00196090" w:rsidRPr="00F90934" w:rsidRDefault="00196090" w:rsidP="007D4C41">
            <w:pPr>
              <w:pStyle w:val="BodyTextIndent"/>
              <w:ind w:firstLine="0"/>
              <w:jc w:val="center"/>
              <w:rPr>
                <w:sz w:val="18"/>
                <w:szCs w:val="18"/>
              </w:rPr>
            </w:pPr>
            <w:r w:rsidRPr="00F90934">
              <w:rPr>
                <w:sz w:val="18"/>
                <w:szCs w:val="18"/>
              </w:rPr>
              <w:t>0.69738</w:t>
            </w:r>
          </w:p>
        </w:tc>
        <w:tc>
          <w:tcPr>
            <w:tcW w:w="502" w:type="dxa"/>
            <w:tcBorders>
              <w:top w:val="nil"/>
              <w:left w:val="single" w:sz="4" w:space="0" w:color="auto"/>
              <w:bottom w:val="nil"/>
              <w:right w:val="single" w:sz="4" w:space="0" w:color="auto"/>
            </w:tcBorders>
            <w:vAlign w:val="center"/>
          </w:tcPr>
          <w:p w14:paraId="61364574"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nil"/>
              <w:right w:val="single" w:sz="4" w:space="0" w:color="auto"/>
            </w:tcBorders>
          </w:tcPr>
          <w:p w14:paraId="7A13512C" w14:textId="77777777" w:rsidR="00196090" w:rsidRPr="00F90934" w:rsidRDefault="00196090" w:rsidP="007D4C41">
            <w:pPr>
              <w:pStyle w:val="BodyTextIndent"/>
              <w:ind w:firstLine="0"/>
              <w:jc w:val="center"/>
              <w:rPr>
                <w:sz w:val="18"/>
                <w:szCs w:val="18"/>
              </w:rPr>
            </w:pPr>
            <w:r w:rsidRPr="00F90934">
              <w:rPr>
                <w:sz w:val="18"/>
                <w:szCs w:val="18"/>
              </w:rPr>
              <w:t>0.00004</w:t>
            </w:r>
          </w:p>
        </w:tc>
      </w:tr>
      <w:tr w:rsidR="007964E0" w:rsidRPr="00F90934" w14:paraId="42743426" w14:textId="77777777" w:rsidTr="007964E0">
        <w:trPr>
          <w:trHeight w:val="221"/>
        </w:trPr>
        <w:tc>
          <w:tcPr>
            <w:tcW w:w="1165" w:type="dxa"/>
            <w:tcBorders>
              <w:top w:val="nil"/>
              <w:left w:val="single" w:sz="4" w:space="0" w:color="auto"/>
              <w:bottom w:val="nil"/>
              <w:right w:val="single" w:sz="4" w:space="0" w:color="auto"/>
            </w:tcBorders>
            <w:shd w:val="clear" w:color="auto" w:fill="auto"/>
            <w:vAlign w:val="bottom"/>
          </w:tcPr>
          <w:p w14:paraId="647D76F9" w14:textId="77777777" w:rsidR="00196090" w:rsidRPr="00F90934" w:rsidRDefault="00196090" w:rsidP="007D4C41">
            <w:pPr>
              <w:pStyle w:val="BodyTextIndent"/>
              <w:ind w:firstLine="0"/>
              <w:jc w:val="left"/>
              <w:rPr>
                <w:sz w:val="18"/>
                <w:szCs w:val="18"/>
              </w:rPr>
            </w:pPr>
            <w:r w:rsidRPr="00F90934">
              <w:rPr>
                <w:sz w:val="18"/>
                <w:szCs w:val="18"/>
              </w:rPr>
              <w:t>Si-28</w:t>
            </w:r>
          </w:p>
        </w:tc>
        <w:tc>
          <w:tcPr>
            <w:tcW w:w="1511" w:type="dxa"/>
            <w:tcBorders>
              <w:top w:val="nil"/>
              <w:left w:val="single" w:sz="4" w:space="0" w:color="auto"/>
              <w:bottom w:val="nil"/>
              <w:right w:val="single" w:sz="4" w:space="0" w:color="auto"/>
            </w:tcBorders>
            <w:vAlign w:val="center"/>
          </w:tcPr>
          <w:p w14:paraId="3C4A1F99" w14:textId="77777777" w:rsidR="00196090" w:rsidRPr="00F90934" w:rsidRDefault="00196090" w:rsidP="007D4C41">
            <w:pPr>
              <w:pStyle w:val="BodyTextIndent"/>
              <w:ind w:firstLine="0"/>
              <w:jc w:val="center"/>
              <w:rPr>
                <w:sz w:val="18"/>
                <w:szCs w:val="18"/>
              </w:rPr>
            </w:pPr>
            <w:r w:rsidRPr="00F90934">
              <w:rPr>
                <w:sz w:val="18"/>
                <w:szCs w:val="18"/>
              </w:rPr>
              <w:t>2.14626</w:t>
            </w:r>
          </w:p>
        </w:tc>
        <w:tc>
          <w:tcPr>
            <w:tcW w:w="502" w:type="dxa"/>
            <w:tcBorders>
              <w:top w:val="nil"/>
              <w:left w:val="single" w:sz="4" w:space="0" w:color="auto"/>
              <w:bottom w:val="nil"/>
              <w:right w:val="single" w:sz="4" w:space="0" w:color="auto"/>
            </w:tcBorders>
          </w:tcPr>
          <w:p w14:paraId="02AB1511"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nil"/>
              <w:right w:val="single" w:sz="4" w:space="0" w:color="auto"/>
            </w:tcBorders>
          </w:tcPr>
          <w:p w14:paraId="7853D08A" w14:textId="77777777" w:rsidR="00196090" w:rsidRPr="00F90934" w:rsidRDefault="00196090" w:rsidP="007D4C41">
            <w:pPr>
              <w:pStyle w:val="BodyTextIndent"/>
              <w:ind w:firstLine="0"/>
              <w:jc w:val="center"/>
              <w:rPr>
                <w:sz w:val="18"/>
                <w:szCs w:val="18"/>
              </w:rPr>
            </w:pPr>
            <w:r w:rsidRPr="00F90934">
              <w:rPr>
                <w:sz w:val="18"/>
                <w:szCs w:val="18"/>
              </w:rPr>
              <w:t>0.00012</w:t>
            </w:r>
          </w:p>
        </w:tc>
      </w:tr>
      <w:tr w:rsidR="007964E0" w:rsidRPr="00F90934" w14:paraId="71C66D7F" w14:textId="77777777" w:rsidTr="007964E0">
        <w:trPr>
          <w:trHeight w:val="221"/>
        </w:trPr>
        <w:tc>
          <w:tcPr>
            <w:tcW w:w="1165" w:type="dxa"/>
            <w:tcBorders>
              <w:top w:val="nil"/>
              <w:left w:val="single" w:sz="4" w:space="0" w:color="auto"/>
              <w:bottom w:val="nil"/>
              <w:right w:val="single" w:sz="4" w:space="0" w:color="auto"/>
            </w:tcBorders>
            <w:shd w:val="clear" w:color="auto" w:fill="auto"/>
            <w:vAlign w:val="bottom"/>
          </w:tcPr>
          <w:p w14:paraId="7F016380" w14:textId="77777777" w:rsidR="00196090" w:rsidRPr="00F90934" w:rsidRDefault="00196090" w:rsidP="007D4C41">
            <w:pPr>
              <w:pStyle w:val="BodyTextIndent"/>
              <w:ind w:firstLine="0"/>
              <w:jc w:val="left"/>
              <w:rPr>
                <w:sz w:val="18"/>
                <w:szCs w:val="18"/>
              </w:rPr>
            </w:pPr>
            <w:r w:rsidRPr="00F90934">
              <w:rPr>
                <w:sz w:val="18"/>
                <w:szCs w:val="18"/>
              </w:rPr>
              <w:t>Si-29</w:t>
            </w:r>
          </w:p>
        </w:tc>
        <w:tc>
          <w:tcPr>
            <w:tcW w:w="1511" w:type="dxa"/>
            <w:tcBorders>
              <w:top w:val="nil"/>
              <w:left w:val="single" w:sz="4" w:space="0" w:color="auto"/>
              <w:bottom w:val="nil"/>
              <w:right w:val="single" w:sz="4" w:space="0" w:color="auto"/>
            </w:tcBorders>
            <w:vAlign w:val="center"/>
          </w:tcPr>
          <w:p w14:paraId="73533390" w14:textId="77777777" w:rsidR="00196090" w:rsidRPr="00F90934" w:rsidRDefault="00196090" w:rsidP="007D4C41">
            <w:pPr>
              <w:pStyle w:val="BodyTextIndent"/>
              <w:ind w:firstLine="0"/>
              <w:jc w:val="center"/>
              <w:rPr>
                <w:sz w:val="18"/>
                <w:szCs w:val="18"/>
              </w:rPr>
            </w:pPr>
            <w:r w:rsidRPr="00F90934">
              <w:rPr>
                <w:sz w:val="18"/>
                <w:szCs w:val="18"/>
              </w:rPr>
              <w:t>0.10899</w:t>
            </w:r>
          </w:p>
        </w:tc>
        <w:tc>
          <w:tcPr>
            <w:tcW w:w="502" w:type="dxa"/>
            <w:tcBorders>
              <w:top w:val="nil"/>
              <w:left w:val="single" w:sz="4" w:space="0" w:color="auto"/>
              <w:bottom w:val="nil"/>
              <w:right w:val="single" w:sz="4" w:space="0" w:color="auto"/>
            </w:tcBorders>
          </w:tcPr>
          <w:p w14:paraId="59EE0423"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nil"/>
              <w:right w:val="single" w:sz="4" w:space="0" w:color="auto"/>
            </w:tcBorders>
          </w:tcPr>
          <w:p w14:paraId="1B21910D" w14:textId="77777777" w:rsidR="00196090" w:rsidRPr="00F90934" w:rsidRDefault="00196090" w:rsidP="007D4C41">
            <w:pPr>
              <w:pStyle w:val="BodyTextIndent"/>
              <w:ind w:firstLine="0"/>
              <w:jc w:val="center"/>
              <w:rPr>
                <w:sz w:val="18"/>
                <w:szCs w:val="18"/>
              </w:rPr>
            </w:pPr>
            <w:r w:rsidRPr="00F90934">
              <w:rPr>
                <w:sz w:val="18"/>
                <w:szCs w:val="18"/>
              </w:rPr>
              <w:t>0.00001</w:t>
            </w:r>
          </w:p>
        </w:tc>
      </w:tr>
      <w:tr w:rsidR="007964E0" w:rsidRPr="00F90934" w14:paraId="1E3C7BA9" w14:textId="77777777" w:rsidTr="007964E0">
        <w:trPr>
          <w:trHeight w:val="231"/>
        </w:trPr>
        <w:tc>
          <w:tcPr>
            <w:tcW w:w="1165" w:type="dxa"/>
            <w:tcBorders>
              <w:top w:val="nil"/>
              <w:left w:val="single" w:sz="4" w:space="0" w:color="auto"/>
              <w:bottom w:val="nil"/>
              <w:right w:val="single" w:sz="4" w:space="0" w:color="auto"/>
            </w:tcBorders>
            <w:shd w:val="clear" w:color="auto" w:fill="auto"/>
            <w:vAlign w:val="bottom"/>
          </w:tcPr>
          <w:p w14:paraId="64638FCE" w14:textId="77777777" w:rsidR="00196090" w:rsidRPr="00F90934" w:rsidRDefault="00196090" w:rsidP="007D4C41">
            <w:pPr>
              <w:pStyle w:val="BodyTextIndent"/>
              <w:ind w:firstLine="0"/>
              <w:jc w:val="left"/>
              <w:rPr>
                <w:sz w:val="18"/>
                <w:szCs w:val="18"/>
              </w:rPr>
            </w:pPr>
            <w:r w:rsidRPr="00F90934">
              <w:rPr>
                <w:sz w:val="18"/>
                <w:szCs w:val="18"/>
              </w:rPr>
              <w:t>Si-30</w:t>
            </w:r>
          </w:p>
        </w:tc>
        <w:tc>
          <w:tcPr>
            <w:tcW w:w="1511" w:type="dxa"/>
            <w:tcBorders>
              <w:top w:val="nil"/>
              <w:left w:val="single" w:sz="4" w:space="0" w:color="auto"/>
              <w:bottom w:val="nil"/>
              <w:right w:val="single" w:sz="4" w:space="0" w:color="auto"/>
            </w:tcBorders>
            <w:vAlign w:val="center"/>
          </w:tcPr>
          <w:p w14:paraId="5A90B69D" w14:textId="77777777" w:rsidR="00196090" w:rsidRPr="00F90934" w:rsidRDefault="00196090" w:rsidP="007D4C41">
            <w:pPr>
              <w:pStyle w:val="BodyTextIndent"/>
              <w:ind w:firstLine="0"/>
              <w:jc w:val="center"/>
              <w:rPr>
                <w:sz w:val="18"/>
                <w:szCs w:val="18"/>
              </w:rPr>
            </w:pPr>
            <w:r w:rsidRPr="00F90934">
              <w:rPr>
                <w:sz w:val="18"/>
                <w:szCs w:val="18"/>
              </w:rPr>
              <w:t>0.07184</w:t>
            </w:r>
          </w:p>
        </w:tc>
        <w:tc>
          <w:tcPr>
            <w:tcW w:w="502" w:type="dxa"/>
            <w:tcBorders>
              <w:top w:val="nil"/>
              <w:left w:val="single" w:sz="4" w:space="0" w:color="auto"/>
              <w:bottom w:val="nil"/>
              <w:right w:val="single" w:sz="4" w:space="0" w:color="auto"/>
            </w:tcBorders>
          </w:tcPr>
          <w:p w14:paraId="7CBA8AA2"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nil"/>
              <w:right w:val="single" w:sz="4" w:space="0" w:color="auto"/>
            </w:tcBorders>
          </w:tcPr>
          <w:p w14:paraId="1B6574BF" w14:textId="77777777" w:rsidR="00196090" w:rsidRPr="00F90934" w:rsidRDefault="00196090" w:rsidP="007D4C41">
            <w:pPr>
              <w:pStyle w:val="BodyTextIndent"/>
              <w:ind w:firstLine="0"/>
              <w:jc w:val="center"/>
              <w:rPr>
                <w:sz w:val="18"/>
                <w:szCs w:val="18"/>
              </w:rPr>
            </w:pPr>
            <w:r w:rsidRPr="00F90934">
              <w:rPr>
                <w:sz w:val="18"/>
                <w:szCs w:val="18"/>
              </w:rPr>
              <w:t>0.00000</w:t>
            </w:r>
          </w:p>
        </w:tc>
      </w:tr>
      <w:tr w:rsidR="007964E0" w:rsidRPr="00F90934" w14:paraId="4367059D" w14:textId="77777777" w:rsidTr="007964E0">
        <w:trPr>
          <w:trHeight w:val="221"/>
        </w:trPr>
        <w:tc>
          <w:tcPr>
            <w:tcW w:w="1165" w:type="dxa"/>
            <w:tcBorders>
              <w:top w:val="nil"/>
              <w:left w:val="single" w:sz="4" w:space="0" w:color="auto"/>
              <w:bottom w:val="nil"/>
              <w:right w:val="single" w:sz="4" w:space="0" w:color="auto"/>
            </w:tcBorders>
            <w:shd w:val="clear" w:color="auto" w:fill="auto"/>
            <w:vAlign w:val="bottom"/>
          </w:tcPr>
          <w:p w14:paraId="1160C5AF" w14:textId="77777777" w:rsidR="00196090" w:rsidRPr="00F90934" w:rsidRDefault="00196090" w:rsidP="007D4C41">
            <w:pPr>
              <w:pStyle w:val="BodyTextIndent"/>
              <w:ind w:firstLine="0"/>
              <w:jc w:val="left"/>
              <w:rPr>
                <w:sz w:val="18"/>
                <w:szCs w:val="18"/>
              </w:rPr>
            </w:pPr>
            <w:r w:rsidRPr="00F90934">
              <w:rPr>
                <w:sz w:val="18"/>
                <w:szCs w:val="18"/>
              </w:rPr>
              <w:t>Al-27</w:t>
            </w:r>
          </w:p>
        </w:tc>
        <w:tc>
          <w:tcPr>
            <w:tcW w:w="1511" w:type="dxa"/>
            <w:tcBorders>
              <w:top w:val="nil"/>
              <w:left w:val="single" w:sz="4" w:space="0" w:color="auto"/>
              <w:bottom w:val="nil"/>
              <w:right w:val="single" w:sz="4" w:space="0" w:color="auto"/>
            </w:tcBorders>
            <w:vAlign w:val="center"/>
          </w:tcPr>
          <w:p w14:paraId="488C8265" w14:textId="77777777" w:rsidR="00196090" w:rsidRPr="00F90934" w:rsidRDefault="00196090" w:rsidP="007D4C41">
            <w:pPr>
              <w:pStyle w:val="BodyTextIndent"/>
              <w:ind w:firstLine="0"/>
              <w:jc w:val="center"/>
              <w:rPr>
                <w:sz w:val="18"/>
                <w:szCs w:val="18"/>
              </w:rPr>
            </w:pPr>
            <w:r w:rsidRPr="00F90934">
              <w:rPr>
                <w:sz w:val="18"/>
                <w:szCs w:val="18"/>
              </w:rPr>
              <w:t>15.77700</w:t>
            </w:r>
          </w:p>
        </w:tc>
        <w:tc>
          <w:tcPr>
            <w:tcW w:w="502" w:type="dxa"/>
            <w:tcBorders>
              <w:top w:val="nil"/>
              <w:left w:val="single" w:sz="4" w:space="0" w:color="auto"/>
              <w:bottom w:val="nil"/>
              <w:right w:val="single" w:sz="4" w:space="0" w:color="auto"/>
            </w:tcBorders>
          </w:tcPr>
          <w:p w14:paraId="517342E5"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nil"/>
              <w:right w:val="single" w:sz="4" w:space="0" w:color="auto"/>
            </w:tcBorders>
          </w:tcPr>
          <w:p w14:paraId="4DDA1BBD" w14:textId="77777777" w:rsidR="00196090" w:rsidRPr="00F90934" w:rsidRDefault="00196090" w:rsidP="007D4C41">
            <w:pPr>
              <w:pStyle w:val="BodyTextIndent"/>
              <w:ind w:firstLine="0"/>
              <w:jc w:val="center"/>
              <w:rPr>
                <w:sz w:val="18"/>
                <w:szCs w:val="18"/>
              </w:rPr>
            </w:pPr>
            <w:r w:rsidRPr="00F90934">
              <w:rPr>
                <w:sz w:val="18"/>
                <w:szCs w:val="18"/>
              </w:rPr>
              <w:t>0.00090</w:t>
            </w:r>
          </w:p>
        </w:tc>
      </w:tr>
      <w:tr w:rsidR="007964E0" w:rsidRPr="00F90934" w14:paraId="035212E1" w14:textId="77777777" w:rsidTr="007964E0">
        <w:trPr>
          <w:trHeight w:val="231"/>
        </w:trPr>
        <w:tc>
          <w:tcPr>
            <w:tcW w:w="1165" w:type="dxa"/>
            <w:tcBorders>
              <w:top w:val="nil"/>
              <w:left w:val="single" w:sz="4" w:space="0" w:color="auto"/>
              <w:bottom w:val="nil"/>
              <w:right w:val="single" w:sz="4" w:space="0" w:color="auto"/>
            </w:tcBorders>
            <w:shd w:val="clear" w:color="auto" w:fill="auto"/>
            <w:vAlign w:val="bottom"/>
          </w:tcPr>
          <w:p w14:paraId="624F3DB6" w14:textId="77777777" w:rsidR="00196090" w:rsidRPr="00F90934" w:rsidRDefault="00196090" w:rsidP="007D4C41">
            <w:pPr>
              <w:pStyle w:val="BodyTextIndent"/>
              <w:ind w:firstLine="0"/>
              <w:jc w:val="left"/>
              <w:rPr>
                <w:sz w:val="18"/>
                <w:szCs w:val="18"/>
              </w:rPr>
            </w:pPr>
            <w:r w:rsidRPr="00F90934">
              <w:rPr>
                <w:sz w:val="18"/>
                <w:szCs w:val="18"/>
              </w:rPr>
              <w:t>H-1</w:t>
            </w:r>
          </w:p>
        </w:tc>
        <w:tc>
          <w:tcPr>
            <w:tcW w:w="1511" w:type="dxa"/>
            <w:tcBorders>
              <w:top w:val="nil"/>
              <w:left w:val="single" w:sz="4" w:space="0" w:color="auto"/>
              <w:bottom w:val="nil"/>
              <w:right w:val="single" w:sz="4" w:space="0" w:color="auto"/>
            </w:tcBorders>
            <w:vAlign w:val="center"/>
          </w:tcPr>
          <w:p w14:paraId="14FF5B9E" w14:textId="77777777" w:rsidR="00196090" w:rsidRPr="00F90934" w:rsidRDefault="00196090" w:rsidP="007D4C41">
            <w:pPr>
              <w:pStyle w:val="BodyTextIndent"/>
              <w:ind w:firstLine="0"/>
              <w:jc w:val="center"/>
              <w:rPr>
                <w:sz w:val="18"/>
                <w:szCs w:val="18"/>
              </w:rPr>
            </w:pPr>
            <w:r w:rsidRPr="00F90934">
              <w:rPr>
                <w:sz w:val="18"/>
                <w:szCs w:val="18"/>
              </w:rPr>
              <w:t>74.94360</w:t>
            </w:r>
          </w:p>
        </w:tc>
        <w:tc>
          <w:tcPr>
            <w:tcW w:w="502" w:type="dxa"/>
            <w:tcBorders>
              <w:top w:val="nil"/>
              <w:left w:val="single" w:sz="4" w:space="0" w:color="auto"/>
              <w:bottom w:val="nil"/>
              <w:right w:val="single" w:sz="4" w:space="0" w:color="auto"/>
            </w:tcBorders>
          </w:tcPr>
          <w:p w14:paraId="236A707A"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nil"/>
              <w:right w:val="single" w:sz="4" w:space="0" w:color="auto"/>
            </w:tcBorders>
          </w:tcPr>
          <w:p w14:paraId="4569B503" w14:textId="77777777" w:rsidR="00196090" w:rsidRPr="00F90934" w:rsidRDefault="00196090" w:rsidP="007D4C41">
            <w:pPr>
              <w:pStyle w:val="BodyTextIndent"/>
              <w:ind w:firstLine="0"/>
              <w:jc w:val="center"/>
              <w:rPr>
                <w:sz w:val="18"/>
                <w:szCs w:val="18"/>
              </w:rPr>
            </w:pPr>
            <w:r w:rsidRPr="00F90934">
              <w:rPr>
                <w:sz w:val="18"/>
                <w:szCs w:val="18"/>
              </w:rPr>
              <w:t>0.00250</w:t>
            </w:r>
          </w:p>
        </w:tc>
      </w:tr>
      <w:tr w:rsidR="007964E0" w:rsidRPr="00F90934" w14:paraId="0122BE8D" w14:textId="77777777" w:rsidTr="007964E0">
        <w:trPr>
          <w:trHeight w:val="221"/>
        </w:trPr>
        <w:tc>
          <w:tcPr>
            <w:tcW w:w="1165" w:type="dxa"/>
            <w:tcBorders>
              <w:top w:val="nil"/>
              <w:left w:val="single" w:sz="4" w:space="0" w:color="auto"/>
              <w:bottom w:val="nil"/>
              <w:right w:val="single" w:sz="4" w:space="0" w:color="auto"/>
            </w:tcBorders>
            <w:shd w:val="clear" w:color="auto" w:fill="auto"/>
            <w:vAlign w:val="bottom"/>
          </w:tcPr>
          <w:p w14:paraId="7EAAEC98" w14:textId="77777777" w:rsidR="00196090" w:rsidRPr="00F90934" w:rsidRDefault="00196090" w:rsidP="007D4C41">
            <w:pPr>
              <w:pStyle w:val="BodyTextIndent"/>
              <w:ind w:firstLine="0"/>
              <w:jc w:val="left"/>
              <w:rPr>
                <w:sz w:val="18"/>
                <w:szCs w:val="18"/>
              </w:rPr>
            </w:pPr>
            <w:r w:rsidRPr="00F90934">
              <w:rPr>
                <w:sz w:val="18"/>
                <w:szCs w:val="18"/>
              </w:rPr>
              <w:t>H-2</w:t>
            </w:r>
          </w:p>
        </w:tc>
        <w:tc>
          <w:tcPr>
            <w:tcW w:w="1511" w:type="dxa"/>
            <w:tcBorders>
              <w:top w:val="nil"/>
              <w:left w:val="single" w:sz="4" w:space="0" w:color="auto"/>
              <w:bottom w:val="nil"/>
              <w:right w:val="single" w:sz="4" w:space="0" w:color="auto"/>
            </w:tcBorders>
            <w:vAlign w:val="center"/>
          </w:tcPr>
          <w:p w14:paraId="7E437F86" w14:textId="77777777" w:rsidR="00196090" w:rsidRPr="00F90934" w:rsidRDefault="00196090" w:rsidP="007D4C41">
            <w:pPr>
              <w:pStyle w:val="BodyTextIndent"/>
              <w:ind w:firstLine="0"/>
              <w:jc w:val="center"/>
              <w:rPr>
                <w:sz w:val="18"/>
                <w:szCs w:val="18"/>
              </w:rPr>
            </w:pPr>
            <w:r w:rsidRPr="00F90934">
              <w:rPr>
                <w:sz w:val="18"/>
                <w:szCs w:val="18"/>
              </w:rPr>
              <w:t>0.01167</w:t>
            </w:r>
          </w:p>
        </w:tc>
        <w:tc>
          <w:tcPr>
            <w:tcW w:w="502" w:type="dxa"/>
            <w:tcBorders>
              <w:top w:val="nil"/>
              <w:left w:val="single" w:sz="4" w:space="0" w:color="auto"/>
              <w:bottom w:val="nil"/>
              <w:right w:val="single" w:sz="4" w:space="0" w:color="auto"/>
            </w:tcBorders>
          </w:tcPr>
          <w:p w14:paraId="7E8035A1"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nil"/>
              <w:right w:val="single" w:sz="4" w:space="0" w:color="auto"/>
            </w:tcBorders>
          </w:tcPr>
          <w:p w14:paraId="17966EBB" w14:textId="77777777" w:rsidR="00196090" w:rsidRPr="00F90934" w:rsidRDefault="00196090" w:rsidP="007D4C41">
            <w:pPr>
              <w:pStyle w:val="BodyTextIndent"/>
              <w:ind w:firstLine="0"/>
              <w:jc w:val="center"/>
              <w:rPr>
                <w:sz w:val="18"/>
                <w:szCs w:val="18"/>
              </w:rPr>
            </w:pPr>
            <w:r w:rsidRPr="00F90934">
              <w:rPr>
                <w:sz w:val="18"/>
                <w:szCs w:val="18"/>
              </w:rPr>
              <w:t>0.00000</w:t>
            </w:r>
          </w:p>
        </w:tc>
      </w:tr>
      <w:tr w:rsidR="007964E0" w:rsidRPr="00F90934" w14:paraId="058F4E99" w14:textId="77777777" w:rsidTr="007964E0">
        <w:trPr>
          <w:trHeight w:val="221"/>
        </w:trPr>
        <w:tc>
          <w:tcPr>
            <w:tcW w:w="1165" w:type="dxa"/>
            <w:tcBorders>
              <w:top w:val="nil"/>
              <w:left w:val="single" w:sz="4" w:space="0" w:color="auto"/>
              <w:bottom w:val="nil"/>
              <w:right w:val="single" w:sz="4" w:space="0" w:color="auto"/>
            </w:tcBorders>
            <w:shd w:val="clear" w:color="auto" w:fill="auto"/>
            <w:vAlign w:val="bottom"/>
          </w:tcPr>
          <w:p w14:paraId="2CF4C6B2" w14:textId="77777777" w:rsidR="00196090" w:rsidRPr="00F90934" w:rsidRDefault="00196090" w:rsidP="007D4C41">
            <w:pPr>
              <w:pStyle w:val="BodyTextIndent"/>
              <w:ind w:firstLine="0"/>
              <w:jc w:val="left"/>
              <w:rPr>
                <w:sz w:val="18"/>
                <w:szCs w:val="18"/>
              </w:rPr>
            </w:pPr>
            <w:r w:rsidRPr="00F90934">
              <w:rPr>
                <w:sz w:val="18"/>
                <w:szCs w:val="18"/>
              </w:rPr>
              <w:t>O-16</w:t>
            </w:r>
          </w:p>
        </w:tc>
        <w:tc>
          <w:tcPr>
            <w:tcW w:w="1511" w:type="dxa"/>
            <w:tcBorders>
              <w:top w:val="nil"/>
              <w:left w:val="single" w:sz="4" w:space="0" w:color="auto"/>
              <w:bottom w:val="nil"/>
              <w:right w:val="single" w:sz="4" w:space="0" w:color="auto"/>
            </w:tcBorders>
            <w:vAlign w:val="center"/>
          </w:tcPr>
          <w:p w14:paraId="4577593B" w14:textId="77777777" w:rsidR="00196090" w:rsidRPr="00F90934" w:rsidRDefault="00196090" w:rsidP="007D4C41">
            <w:pPr>
              <w:pStyle w:val="BodyTextIndent"/>
              <w:ind w:firstLine="0"/>
              <w:jc w:val="center"/>
              <w:rPr>
                <w:sz w:val="18"/>
                <w:szCs w:val="18"/>
              </w:rPr>
            </w:pPr>
            <w:r w:rsidRPr="00F90934">
              <w:rPr>
                <w:sz w:val="18"/>
                <w:szCs w:val="18"/>
              </w:rPr>
              <w:t>37.46340</w:t>
            </w:r>
          </w:p>
        </w:tc>
        <w:tc>
          <w:tcPr>
            <w:tcW w:w="502" w:type="dxa"/>
            <w:tcBorders>
              <w:top w:val="nil"/>
              <w:left w:val="single" w:sz="4" w:space="0" w:color="auto"/>
              <w:bottom w:val="nil"/>
              <w:right w:val="single" w:sz="4" w:space="0" w:color="auto"/>
            </w:tcBorders>
          </w:tcPr>
          <w:p w14:paraId="0EA7051D"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nil"/>
              <w:right w:val="single" w:sz="4" w:space="0" w:color="auto"/>
            </w:tcBorders>
          </w:tcPr>
          <w:p w14:paraId="387BEF12" w14:textId="77777777" w:rsidR="00196090" w:rsidRPr="00F90934" w:rsidRDefault="00196090" w:rsidP="007D4C41">
            <w:pPr>
              <w:pStyle w:val="BodyTextIndent"/>
              <w:ind w:firstLine="0"/>
              <w:jc w:val="center"/>
              <w:rPr>
                <w:sz w:val="18"/>
                <w:szCs w:val="18"/>
              </w:rPr>
            </w:pPr>
            <w:r w:rsidRPr="00F90934">
              <w:rPr>
                <w:sz w:val="18"/>
                <w:szCs w:val="18"/>
              </w:rPr>
              <w:t>0.00120</w:t>
            </w:r>
          </w:p>
        </w:tc>
      </w:tr>
      <w:tr w:rsidR="007964E0" w:rsidRPr="00F90934" w14:paraId="6895F2C3" w14:textId="77777777" w:rsidTr="007964E0">
        <w:trPr>
          <w:trHeight w:val="231"/>
        </w:trPr>
        <w:tc>
          <w:tcPr>
            <w:tcW w:w="1165" w:type="dxa"/>
            <w:tcBorders>
              <w:top w:val="nil"/>
              <w:left w:val="single" w:sz="4" w:space="0" w:color="auto"/>
              <w:bottom w:val="single" w:sz="4" w:space="0" w:color="auto"/>
              <w:right w:val="single" w:sz="4" w:space="0" w:color="auto"/>
            </w:tcBorders>
            <w:shd w:val="clear" w:color="auto" w:fill="auto"/>
            <w:vAlign w:val="bottom"/>
          </w:tcPr>
          <w:p w14:paraId="65C6FAE1" w14:textId="77777777" w:rsidR="00196090" w:rsidRPr="00F90934" w:rsidRDefault="00196090" w:rsidP="007D4C41">
            <w:pPr>
              <w:pStyle w:val="BodyTextIndent"/>
              <w:ind w:firstLine="0"/>
              <w:jc w:val="left"/>
              <w:rPr>
                <w:sz w:val="18"/>
                <w:szCs w:val="18"/>
              </w:rPr>
            </w:pPr>
            <w:r w:rsidRPr="00F90934">
              <w:rPr>
                <w:sz w:val="18"/>
                <w:szCs w:val="18"/>
              </w:rPr>
              <w:t>O-17</w:t>
            </w:r>
          </w:p>
        </w:tc>
        <w:tc>
          <w:tcPr>
            <w:tcW w:w="1511" w:type="dxa"/>
            <w:tcBorders>
              <w:top w:val="nil"/>
              <w:left w:val="single" w:sz="4" w:space="0" w:color="auto"/>
              <w:bottom w:val="single" w:sz="4" w:space="0" w:color="auto"/>
              <w:right w:val="single" w:sz="4" w:space="0" w:color="auto"/>
            </w:tcBorders>
            <w:vAlign w:val="center"/>
          </w:tcPr>
          <w:p w14:paraId="1D936587" w14:textId="77777777" w:rsidR="00196090" w:rsidRPr="00F90934" w:rsidRDefault="00196090" w:rsidP="007D4C41">
            <w:pPr>
              <w:pStyle w:val="BodyTextIndent"/>
              <w:ind w:firstLine="0"/>
              <w:jc w:val="center"/>
              <w:rPr>
                <w:sz w:val="18"/>
                <w:szCs w:val="18"/>
              </w:rPr>
            </w:pPr>
            <w:r w:rsidRPr="00F90934">
              <w:rPr>
                <w:sz w:val="18"/>
                <w:szCs w:val="18"/>
              </w:rPr>
              <w:t>0.01420</w:t>
            </w:r>
          </w:p>
        </w:tc>
        <w:tc>
          <w:tcPr>
            <w:tcW w:w="502" w:type="dxa"/>
            <w:tcBorders>
              <w:top w:val="nil"/>
              <w:left w:val="single" w:sz="4" w:space="0" w:color="auto"/>
              <w:bottom w:val="single" w:sz="4" w:space="0" w:color="auto"/>
              <w:right w:val="single" w:sz="4" w:space="0" w:color="auto"/>
            </w:tcBorders>
          </w:tcPr>
          <w:p w14:paraId="3AAAB313" w14:textId="77777777" w:rsidR="00196090" w:rsidRPr="00F9093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8" w:type="dxa"/>
            <w:tcBorders>
              <w:top w:val="nil"/>
              <w:left w:val="single" w:sz="4" w:space="0" w:color="auto"/>
              <w:bottom w:val="single" w:sz="4" w:space="0" w:color="auto"/>
              <w:right w:val="single" w:sz="4" w:space="0" w:color="auto"/>
            </w:tcBorders>
          </w:tcPr>
          <w:p w14:paraId="41A4C13C" w14:textId="77777777" w:rsidR="00196090" w:rsidRPr="00F90934" w:rsidRDefault="00196090" w:rsidP="007D4C41">
            <w:pPr>
              <w:pStyle w:val="BodyTextIndent"/>
              <w:ind w:firstLine="0"/>
              <w:jc w:val="center"/>
              <w:rPr>
                <w:sz w:val="18"/>
                <w:szCs w:val="18"/>
              </w:rPr>
            </w:pPr>
            <w:r w:rsidRPr="00F90934">
              <w:rPr>
                <w:sz w:val="18"/>
                <w:szCs w:val="18"/>
              </w:rPr>
              <w:t>0.00000</w:t>
            </w:r>
          </w:p>
        </w:tc>
      </w:tr>
    </w:tbl>
    <w:p w14:paraId="6970AAA5" w14:textId="72268D05" w:rsidR="00155D92" w:rsidRDefault="00155D92" w:rsidP="00155D92">
      <w:pPr>
        <w:pStyle w:val="BodyTextIndent"/>
        <w:ind w:firstLine="0"/>
        <w:rPr>
          <w:bCs/>
          <w:sz w:val="22"/>
          <w:szCs w:val="22"/>
        </w:rPr>
      </w:pPr>
    </w:p>
    <w:p w14:paraId="5A6F9E0A" w14:textId="403119C5" w:rsidR="00196090" w:rsidRPr="00DB67A4" w:rsidRDefault="00196090" w:rsidP="00DB67A4">
      <w:pPr>
        <w:pStyle w:val="BodyTextIndent"/>
        <w:jc w:val="left"/>
        <w:rPr>
          <w:i/>
          <w:iCs/>
        </w:rPr>
      </w:pPr>
      <w:r w:rsidRPr="00DB67A4">
        <w:rPr>
          <w:i/>
          <w:iCs/>
        </w:rPr>
        <w:t xml:space="preserve">Table </w:t>
      </w:r>
      <w:r w:rsidR="00DB67A4" w:rsidRPr="00DB67A4">
        <w:rPr>
          <w:i/>
          <w:iCs/>
        </w:rPr>
        <w:t>III</w:t>
      </w:r>
      <w:r w:rsidRPr="00DB67A4">
        <w:rPr>
          <w:i/>
          <w:iCs/>
        </w:rPr>
        <w:t>.2 Atomic Statistics Calculation for the Flat Fuel Element</w:t>
      </w:r>
    </w:p>
    <w:tbl>
      <w:tblPr>
        <w:tblW w:w="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507"/>
        <w:gridCol w:w="502"/>
        <w:gridCol w:w="1512"/>
      </w:tblGrid>
      <w:tr w:rsidR="00196090" w:rsidRPr="00DB67A4" w14:paraId="7EA62C06" w14:textId="77777777" w:rsidTr="007964E0">
        <w:trPr>
          <w:trHeight w:val="221"/>
        </w:trPr>
        <w:tc>
          <w:tcPr>
            <w:tcW w:w="1163" w:type="dxa"/>
            <w:vMerge w:val="restart"/>
            <w:tcBorders>
              <w:top w:val="single" w:sz="4" w:space="0" w:color="auto"/>
              <w:left w:val="single" w:sz="4" w:space="0" w:color="auto"/>
              <w:bottom w:val="single" w:sz="4" w:space="0" w:color="auto"/>
              <w:right w:val="single" w:sz="4" w:space="0" w:color="auto"/>
            </w:tcBorders>
            <w:vAlign w:val="center"/>
          </w:tcPr>
          <w:p w14:paraId="621811B3" w14:textId="77777777" w:rsidR="00196090" w:rsidRPr="00DB67A4" w:rsidRDefault="00196090" w:rsidP="007D4C41">
            <w:pPr>
              <w:pStyle w:val="BodyTextIndent"/>
              <w:ind w:firstLine="0"/>
              <w:jc w:val="left"/>
              <w:rPr>
                <w:sz w:val="18"/>
                <w:szCs w:val="18"/>
              </w:rPr>
            </w:pPr>
            <w:r w:rsidRPr="00DB67A4">
              <w:rPr>
                <w:sz w:val="18"/>
                <w:szCs w:val="18"/>
              </w:rPr>
              <w:t>Atoms</w:t>
            </w:r>
          </w:p>
        </w:tc>
        <w:tc>
          <w:tcPr>
            <w:tcW w:w="3521" w:type="dxa"/>
            <w:gridSpan w:val="3"/>
            <w:tcBorders>
              <w:top w:val="single" w:sz="4" w:space="0" w:color="auto"/>
              <w:left w:val="single" w:sz="4" w:space="0" w:color="auto"/>
              <w:bottom w:val="single" w:sz="4" w:space="0" w:color="auto"/>
              <w:right w:val="single" w:sz="4" w:space="0" w:color="auto"/>
            </w:tcBorders>
            <w:vAlign w:val="center"/>
          </w:tcPr>
          <w:p w14:paraId="566F15DA" w14:textId="77777777" w:rsidR="00196090" w:rsidRPr="00DB67A4" w:rsidRDefault="00196090" w:rsidP="007D4C41">
            <w:pPr>
              <w:pStyle w:val="BodyTextIndent"/>
              <w:ind w:firstLine="0"/>
              <w:jc w:val="center"/>
              <w:rPr>
                <w:sz w:val="18"/>
                <w:szCs w:val="18"/>
              </w:rPr>
            </w:pPr>
            <w:r w:rsidRPr="00DB67A4">
              <w:rPr>
                <w:sz w:val="18"/>
                <w:szCs w:val="18"/>
              </w:rPr>
              <w:t>Flat</w:t>
            </w:r>
          </w:p>
        </w:tc>
      </w:tr>
      <w:tr w:rsidR="00F90934" w:rsidRPr="00DB67A4" w14:paraId="11C3FA9D" w14:textId="77777777" w:rsidTr="007964E0">
        <w:trPr>
          <w:trHeight w:val="231"/>
        </w:trPr>
        <w:tc>
          <w:tcPr>
            <w:tcW w:w="1163" w:type="dxa"/>
            <w:vMerge/>
            <w:tcBorders>
              <w:top w:val="single" w:sz="4" w:space="0" w:color="auto"/>
              <w:left w:val="single" w:sz="4" w:space="0" w:color="auto"/>
              <w:bottom w:val="single" w:sz="4" w:space="0" w:color="auto"/>
              <w:right w:val="single" w:sz="4" w:space="0" w:color="auto"/>
            </w:tcBorders>
            <w:vAlign w:val="center"/>
          </w:tcPr>
          <w:p w14:paraId="47F3EE98" w14:textId="77777777" w:rsidR="00F90934" w:rsidRPr="00DB67A4" w:rsidRDefault="00F90934" w:rsidP="007D4C41">
            <w:pPr>
              <w:pStyle w:val="BodyTextIndent"/>
              <w:ind w:firstLine="0"/>
              <w:jc w:val="left"/>
              <w:rPr>
                <w:sz w:val="18"/>
                <w:szCs w:val="18"/>
              </w:rPr>
            </w:pPr>
          </w:p>
        </w:tc>
        <w:tc>
          <w:tcPr>
            <w:tcW w:w="1507" w:type="dxa"/>
            <w:tcBorders>
              <w:top w:val="single" w:sz="4" w:space="0" w:color="auto"/>
              <w:left w:val="single" w:sz="4" w:space="0" w:color="auto"/>
              <w:bottom w:val="nil"/>
              <w:right w:val="single" w:sz="4" w:space="0" w:color="auto"/>
            </w:tcBorders>
            <w:vAlign w:val="center"/>
          </w:tcPr>
          <w:p w14:paraId="6ACD0FFF" w14:textId="001776AC" w:rsidR="00F90934" w:rsidRPr="00DB67A4" w:rsidRDefault="00F90934" w:rsidP="00196090">
            <w:pPr>
              <w:pStyle w:val="BodyTextIndent"/>
              <w:ind w:firstLine="0"/>
              <w:jc w:val="left"/>
              <w:rPr>
                <w:sz w:val="18"/>
                <w:szCs w:val="18"/>
              </w:rPr>
            </w:pPr>
            <m:oMathPara>
              <m:oMath>
                <m:r>
                  <m:rPr>
                    <m:sty m:val="bi"/>
                  </m:rPr>
                  <w:rPr>
                    <w:rFonts w:ascii="Cambria Math" w:hAnsi="Cambria Math"/>
                    <w:sz w:val="18"/>
                    <w:szCs w:val="18"/>
                  </w:rPr>
                  <m:t>atoms</m:t>
                </m:r>
                <m:r>
                  <m:rPr>
                    <m:sty m:val="p"/>
                  </m:rPr>
                  <w:rPr>
                    <w:rFonts w:ascii="Cambria Math" w:hAnsi="Cambria Math"/>
                    <w:sz w:val="18"/>
                    <w:szCs w:val="18"/>
                  </w:rPr>
                  <m:t xml:space="preserve">  </m:t>
                </m:r>
              </m:oMath>
            </m:oMathPara>
          </w:p>
        </w:tc>
        <w:tc>
          <w:tcPr>
            <w:tcW w:w="502" w:type="dxa"/>
            <w:vMerge w:val="restart"/>
            <w:tcBorders>
              <w:top w:val="single" w:sz="4" w:space="0" w:color="auto"/>
              <w:left w:val="single" w:sz="4" w:space="0" w:color="auto"/>
              <w:right w:val="single" w:sz="4" w:space="0" w:color="auto"/>
            </w:tcBorders>
            <w:vAlign w:val="center"/>
          </w:tcPr>
          <w:p w14:paraId="57EB9E26" w14:textId="77777777" w:rsidR="00F90934" w:rsidRPr="00DB67A4" w:rsidRDefault="00F90934"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vAlign w:val="center"/>
          </w:tcPr>
          <w:p w14:paraId="051F0308" w14:textId="77777777" w:rsidR="00F90934" w:rsidRPr="00DB67A4" w:rsidRDefault="00F90934" w:rsidP="007D4C41">
            <w:pPr>
              <w:pStyle w:val="BodyTextIndent"/>
              <w:ind w:firstLine="0"/>
              <w:jc w:val="center"/>
              <w:rPr>
                <w:sz w:val="18"/>
                <w:szCs w:val="18"/>
              </w:rPr>
            </w:pPr>
            <m:oMathPara>
              <m:oMath>
                <m:r>
                  <m:rPr>
                    <m:sty m:val="bi"/>
                  </m:rPr>
                  <w:rPr>
                    <w:rFonts w:ascii="Cambria Math" w:hAnsi="Cambria Math"/>
                    <w:sz w:val="18"/>
                    <w:szCs w:val="18"/>
                  </w:rPr>
                  <m:t>σ</m:t>
                </m:r>
              </m:oMath>
            </m:oMathPara>
          </w:p>
        </w:tc>
      </w:tr>
      <w:tr w:rsidR="00F90934" w:rsidRPr="00DB67A4" w14:paraId="6058878F" w14:textId="77777777" w:rsidTr="007964E0">
        <w:trPr>
          <w:trHeight w:val="461"/>
        </w:trPr>
        <w:tc>
          <w:tcPr>
            <w:tcW w:w="1163" w:type="dxa"/>
            <w:vMerge/>
            <w:tcBorders>
              <w:top w:val="single" w:sz="4" w:space="0" w:color="auto"/>
              <w:left w:val="single" w:sz="4" w:space="0" w:color="auto"/>
              <w:bottom w:val="single" w:sz="4" w:space="0" w:color="auto"/>
              <w:right w:val="single" w:sz="4" w:space="0" w:color="auto"/>
            </w:tcBorders>
          </w:tcPr>
          <w:p w14:paraId="26720F0F" w14:textId="77777777" w:rsidR="00F90934" w:rsidRPr="00DB67A4" w:rsidRDefault="00F90934" w:rsidP="007D4C41">
            <w:pPr>
              <w:pStyle w:val="BodyTextIndent"/>
              <w:ind w:firstLine="0"/>
              <w:jc w:val="left"/>
              <w:rPr>
                <w:sz w:val="18"/>
                <w:szCs w:val="18"/>
              </w:rPr>
            </w:pPr>
          </w:p>
        </w:tc>
        <w:tc>
          <w:tcPr>
            <w:tcW w:w="1507" w:type="dxa"/>
            <w:tcBorders>
              <w:top w:val="nil"/>
              <w:left w:val="single" w:sz="4" w:space="0" w:color="auto"/>
              <w:bottom w:val="single" w:sz="4" w:space="0" w:color="auto"/>
              <w:right w:val="single" w:sz="4" w:space="0" w:color="auto"/>
            </w:tcBorders>
            <w:vAlign w:val="center"/>
          </w:tcPr>
          <w:p w14:paraId="61B5E0A8" w14:textId="77777777" w:rsidR="00F90934" w:rsidRPr="00DB67A4" w:rsidRDefault="00F90934" w:rsidP="00196090">
            <w:pPr>
              <w:pStyle w:val="BodyTextIndent"/>
              <w:ind w:firstLine="0"/>
              <w:jc w:val="left"/>
              <w:rPr>
                <w:sz w:val="18"/>
                <w:szCs w:val="18"/>
              </w:rPr>
            </w:pPr>
            <m:oMathPara>
              <m:oMath>
                <m:r>
                  <m:rPr>
                    <m:sty m:val="p"/>
                  </m:rPr>
                  <w:rPr>
                    <w:rFonts w:ascii="Cambria Math" w:hAnsi="Cambria Math"/>
                    <w:sz w:val="18"/>
                    <w:szCs w:val="18"/>
                  </w:rPr>
                  <m:t>[×</m:t>
                </m:r>
                <m:r>
                  <m:rPr>
                    <m:sty m:val="b"/>
                  </m:rPr>
                  <w:rPr>
                    <w:rFonts w:ascii="Cambria Math" w:hAnsi="Cambria Math"/>
                    <w:sz w:val="18"/>
                    <w:szCs w:val="18"/>
                  </w:rPr>
                  <m:t>1</m:t>
                </m:r>
                <m:sSup>
                  <m:sSupPr>
                    <m:ctrlPr>
                      <w:rPr>
                        <w:rFonts w:ascii="Cambria Math" w:hAnsi="Cambria Math"/>
                        <w:sz w:val="18"/>
                        <w:szCs w:val="18"/>
                      </w:rPr>
                    </m:ctrlPr>
                  </m:sSupPr>
                  <m:e>
                    <m:r>
                      <m:rPr>
                        <m:sty m:val="b"/>
                      </m:rPr>
                      <w:rPr>
                        <w:rFonts w:ascii="Cambria Math" w:hAnsi="Cambria Math"/>
                        <w:sz w:val="18"/>
                        <w:szCs w:val="18"/>
                      </w:rPr>
                      <m:t>0</m:t>
                    </m:r>
                  </m:e>
                  <m:sup>
                    <m:r>
                      <m:rPr>
                        <m:sty m:val="b"/>
                      </m:rPr>
                      <w:rPr>
                        <w:rFonts w:ascii="Cambria Math" w:hAnsi="Cambria Math"/>
                        <w:sz w:val="18"/>
                        <w:szCs w:val="18"/>
                      </w:rPr>
                      <m:t>21</m:t>
                    </m:r>
                  </m:sup>
                </m:sSup>
                <m:r>
                  <m:rPr>
                    <m:sty m:val="p"/>
                  </m:rPr>
                  <w:rPr>
                    <w:rFonts w:ascii="Cambria Math" w:hAnsi="Cambria Math"/>
                    <w:sz w:val="18"/>
                    <w:szCs w:val="18"/>
                  </w:rPr>
                  <m:t>]</m:t>
                </m:r>
              </m:oMath>
            </m:oMathPara>
          </w:p>
        </w:tc>
        <w:tc>
          <w:tcPr>
            <w:tcW w:w="502" w:type="dxa"/>
            <w:vMerge/>
            <w:tcBorders>
              <w:left w:val="single" w:sz="4" w:space="0" w:color="auto"/>
              <w:bottom w:val="single" w:sz="4" w:space="0" w:color="auto"/>
              <w:right w:val="single" w:sz="4" w:space="0" w:color="auto"/>
            </w:tcBorders>
            <w:vAlign w:val="center"/>
          </w:tcPr>
          <w:p w14:paraId="19786D51" w14:textId="77777777" w:rsidR="00F90934" w:rsidRPr="00DB67A4" w:rsidRDefault="00F90934" w:rsidP="007D4C41">
            <w:pPr>
              <w:pStyle w:val="BodyTextIndent"/>
              <w:ind w:firstLine="0"/>
              <w:jc w:val="center"/>
              <w:rPr>
                <w:sz w:val="18"/>
                <w:szCs w:val="18"/>
              </w:rPr>
            </w:pPr>
          </w:p>
        </w:tc>
        <w:tc>
          <w:tcPr>
            <w:tcW w:w="1512" w:type="dxa"/>
            <w:tcBorders>
              <w:top w:val="nil"/>
              <w:left w:val="single" w:sz="4" w:space="0" w:color="auto"/>
              <w:bottom w:val="single" w:sz="4" w:space="0" w:color="auto"/>
              <w:right w:val="single" w:sz="4" w:space="0" w:color="auto"/>
            </w:tcBorders>
            <w:vAlign w:val="center"/>
          </w:tcPr>
          <w:p w14:paraId="3C067F90" w14:textId="77777777" w:rsidR="00F90934" w:rsidRPr="00DB67A4" w:rsidRDefault="00F90934" w:rsidP="007D4C41">
            <w:pPr>
              <w:pStyle w:val="BodyTextIndent"/>
              <w:ind w:firstLine="0"/>
              <w:jc w:val="center"/>
              <w:rPr>
                <w:sz w:val="18"/>
                <w:szCs w:val="18"/>
              </w:rPr>
            </w:pPr>
            <m:oMathPara>
              <m:oMath>
                <m:r>
                  <m:rPr>
                    <m:sty m:val="p"/>
                  </m:rPr>
                  <w:rPr>
                    <w:rFonts w:ascii="Cambria Math" w:hAnsi="Cambria Math"/>
                    <w:sz w:val="18"/>
                    <w:szCs w:val="18"/>
                  </w:rPr>
                  <m:t>[×</m:t>
                </m:r>
                <m:r>
                  <m:rPr>
                    <m:sty m:val="b"/>
                  </m:rPr>
                  <w:rPr>
                    <w:rFonts w:ascii="Cambria Math" w:hAnsi="Cambria Math"/>
                    <w:sz w:val="18"/>
                    <w:szCs w:val="18"/>
                  </w:rPr>
                  <m:t>1</m:t>
                </m:r>
                <m:sSup>
                  <m:sSupPr>
                    <m:ctrlPr>
                      <w:rPr>
                        <w:rFonts w:ascii="Cambria Math" w:hAnsi="Cambria Math"/>
                        <w:sz w:val="18"/>
                        <w:szCs w:val="18"/>
                      </w:rPr>
                    </m:ctrlPr>
                  </m:sSupPr>
                  <m:e>
                    <m:r>
                      <m:rPr>
                        <m:sty m:val="b"/>
                      </m:rPr>
                      <w:rPr>
                        <w:rFonts w:ascii="Cambria Math" w:hAnsi="Cambria Math"/>
                        <w:sz w:val="18"/>
                        <w:szCs w:val="18"/>
                      </w:rPr>
                      <m:t>0</m:t>
                    </m:r>
                  </m:e>
                  <m:sup>
                    <m:r>
                      <m:rPr>
                        <m:sty m:val="b"/>
                      </m:rPr>
                      <w:rPr>
                        <w:rFonts w:ascii="Cambria Math" w:hAnsi="Cambria Math"/>
                        <w:sz w:val="18"/>
                        <w:szCs w:val="18"/>
                      </w:rPr>
                      <m:t>21</m:t>
                    </m:r>
                  </m:sup>
                </m:sSup>
                <m:r>
                  <m:rPr>
                    <m:sty m:val="p"/>
                  </m:rPr>
                  <w:rPr>
                    <w:rFonts w:ascii="Cambria Math" w:hAnsi="Cambria Math"/>
                    <w:sz w:val="18"/>
                    <w:szCs w:val="18"/>
                  </w:rPr>
                  <m:t>]</m:t>
                </m:r>
              </m:oMath>
            </m:oMathPara>
          </w:p>
        </w:tc>
      </w:tr>
      <w:tr w:rsidR="00196090" w:rsidRPr="00DB67A4" w14:paraId="1DE2C38F" w14:textId="77777777" w:rsidTr="007964E0">
        <w:trPr>
          <w:trHeight w:val="221"/>
        </w:trPr>
        <w:tc>
          <w:tcPr>
            <w:tcW w:w="1163" w:type="dxa"/>
            <w:tcBorders>
              <w:top w:val="single" w:sz="4" w:space="0" w:color="auto"/>
              <w:left w:val="single" w:sz="4" w:space="0" w:color="auto"/>
              <w:bottom w:val="nil"/>
              <w:right w:val="single" w:sz="4" w:space="0" w:color="auto"/>
            </w:tcBorders>
            <w:shd w:val="clear" w:color="auto" w:fill="auto"/>
            <w:vAlign w:val="bottom"/>
          </w:tcPr>
          <w:p w14:paraId="3F556765" w14:textId="77777777" w:rsidR="00196090" w:rsidRPr="00DB67A4" w:rsidRDefault="00196090" w:rsidP="007D4C41">
            <w:pPr>
              <w:pStyle w:val="BodyTextIndent"/>
              <w:ind w:firstLine="0"/>
              <w:jc w:val="left"/>
              <w:rPr>
                <w:sz w:val="18"/>
                <w:szCs w:val="18"/>
              </w:rPr>
            </w:pPr>
            <w:r w:rsidRPr="00DB67A4">
              <w:rPr>
                <w:sz w:val="18"/>
                <w:szCs w:val="18"/>
              </w:rPr>
              <w:t>U-238</w:t>
            </w:r>
          </w:p>
        </w:tc>
        <w:tc>
          <w:tcPr>
            <w:tcW w:w="1507" w:type="dxa"/>
            <w:tcBorders>
              <w:top w:val="single" w:sz="4" w:space="0" w:color="auto"/>
              <w:left w:val="single" w:sz="4" w:space="0" w:color="auto"/>
              <w:bottom w:val="nil"/>
              <w:right w:val="single" w:sz="4" w:space="0" w:color="auto"/>
            </w:tcBorders>
          </w:tcPr>
          <w:p w14:paraId="76538615" w14:textId="77777777" w:rsidR="00196090" w:rsidRPr="00DB67A4" w:rsidRDefault="00196090" w:rsidP="007D4C41">
            <w:pPr>
              <w:pStyle w:val="BodyTextIndent"/>
              <w:ind w:firstLine="0"/>
              <w:jc w:val="center"/>
              <w:rPr>
                <w:sz w:val="18"/>
                <w:szCs w:val="18"/>
              </w:rPr>
            </w:pPr>
            <w:r w:rsidRPr="00DB67A4">
              <w:rPr>
                <w:sz w:val="18"/>
                <w:szCs w:val="18"/>
              </w:rPr>
              <w:t>2.79856</w:t>
            </w:r>
          </w:p>
        </w:tc>
        <w:tc>
          <w:tcPr>
            <w:tcW w:w="502" w:type="dxa"/>
            <w:tcBorders>
              <w:top w:val="single" w:sz="4" w:space="0" w:color="auto"/>
              <w:left w:val="single" w:sz="4" w:space="0" w:color="auto"/>
              <w:bottom w:val="nil"/>
              <w:right w:val="single" w:sz="4" w:space="0" w:color="auto"/>
            </w:tcBorders>
          </w:tcPr>
          <w:p w14:paraId="7D4BD16E"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vAlign w:val="center"/>
          </w:tcPr>
          <w:p w14:paraId="60AE6843" w14:textId="77777777" w:rsidR="00196090" w:rsidRPr="00DB67A4" w:rsidRDefault="00196090" w:rsidP="007D4C41">
            <w:pPr>
              <w:pStyle w:val="BodyTextIndent"/>
              <w:ind w:firstLine="0"/>
              <w:jc w:val="center"/>
              <w:rPr>
                <w:sz w:val="18"/>
                <w:szCs w:val="18"/>
              </w:rPr>
            </w:pPr>
            <w:r w:rsidRPr="00DB67A4">
              <w:rPr>
                <w:sz w:val="18"/>
                <w:szCs w:val="18"/>
              </w:rPr>
              <w:t>0.00016</w:t>
            </w:r>
          </w:p>
        </w:tc>
      </w:tr>
      <w:tr w:rsidR="00196090" w:rsidRPr="00DB67A4" w14:paraId="1A18CE26" w14:textId="77777777" w:rsidTr="007964E0">
        <w:trPr>
          <w:trHeight w:val="231"/>
        </w:trPr>
        <w:tc>
          <w:tcPr>
            <w:tcW w:w="1163" w:type="dxa"/>
            <w:tcBorders>
              <w:top w:val="nil"/>
              <w:left w:val="single" w:sz="4" w:space="0" w:color="auto"/>
              <w:bottom w:val="nil"/>
              <w:right w:val="single" w:sz="4" w:space="0" w:color="auto"/>
            </w:tcBorders>
            <w:shd w:val="clear" w:color="auto" w:fill="auto"/>
            <w:vAlign w:val="bottom"/>
          </w:tcPr>
          <w:p w14:paraId="1F750A09" w14:textId="77777777" w:rsidR="00196090" w:rsidRPr="00DB67A4" w:rsidRDefault="00196090" w:rsidP="007D4C41">
            <w:pPr>
              <w:pStyle w:val="BodyTextIndent"/>
              <w:ind w:firstLine="0"/>
              <w:jc w:val="left"/>
              <w:rPr>
                <w:sz w:val="18"/>
                <w:szCs w:val="18"/>
              </w:rPr>
            </w:pPr>
            <w:r w:rsidRPr="00DB67A4">
              <w:rPr>
                <w:sz w:val="18"/>
                <w:szCs w:val="18"/>
              </w:rPr>
              <w:t>U-235</w:t>
            </w:r>
          </w:p>
        </w:tc>
        <w:tc>
          <w:tcPr>
            <w:tcW w:w="1507" w:type="dxa"/>
            <w:tcBorders>
              <w:top w:val="nil"/>
              <w:left w:val="single" w:sz="4" w:space="0" w:color="auto"/>
              <w:bottom w:val="nil"/>
              <w:right w:val="single" w:sz="4" w:space="0" w:color="auto"/>
            </w:tcBorders>
          </w:tcPr>
          <w:p w14:paraId="708CAE66" w14:textId="77777777" w:rsidR="00196090" w:rsidRPr="00DB67A4" w:rsidRDefault="00196090" w:rsidP="007D4C41">
            <w:pPr>
              <w:pStyle w:val="BodyTextIndent"/>
              <w:ind w:firstLine="0"/>
              <w:jc w:val="center"/>
              <w:rPr>
                <w:sz w:val="18"/>
                <w:szCs w:val="18"/>
              </w:rPr>
            </w:pPr>
            <w:r w:rsidRPr="00DB67A4">
              <w:rPr>
                <w:sz w:val="18"/>
                <w:szCs w:val="18"/>
              </w:rPr>
              <w:t>0.69756</w:t>
            </w:r>
          </w:p>
        </w:tc>
        <w:tc>
          <w:tcPr>
            <w:tcW w:w="502" w:type="dxa"/>
            <w:tcBorders>
              <w:top w:val="nil"/>
              <w:left w:val="single" w:sz="4" w:space="0" w:color="auto"/>
              <w:bottom w:val="nil"/>
              <w:right w:val="single" w:sz="4" w:space="0" w:color="auto"/>
            </w:tcBorders>
          </w:tcPr>
          <w:p w14:paraId="600B68ED"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vAlign w:val="center"/>
          </w:tcPr>
          <w:p w14:paraId="30C53F44" w14:textId="77777777" w:rsidR="00196090" w:rsidRPr="00DB67A4" w:rsidRDefault="00196090" w:rsidP="007D4C41">
            <w:pPr>
              <w:pStyle w:val="BodyTextIndent"/>
              <w:ind w:firstLine="0"/>
              <w:jc w:val="center"/>
              <w:rPr>
                <w:sz w:val="18"/>
                <w:szCs w:val="18"/>
              </w:rPr>
            </w:pPr>
            <w:r w:rsidRPr="00DB67A4">
              <w:rPr>
                <w:sz w:val="18"/>
                <w:szCs w:val="18"/>
              </w:rPr>
              <w:t>0.00004</w:t>
            </w:r>
          </w:p>
        </w:tc>
      </w:tr>
      <w:tr w:rsidR="00196090" w:rsidRPr="00DB67A4" w14:paraId="6A6C538D"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44A9555B" w14:textId="77777777" w:rsidR="00196090" w:rsidRPr="00DB67A4" w:rsidRDefault="00196090" w:rsidP="007D4C41">
            <w:pPr>
              <w:pStyle w:val="BodyTextIndent"/>
              <w:ind w:firstLine="0"/>
              <w:jc w:val="left"/>
              <w:rPr>
                <w:sz w:val="18"/>
                <w:szCs w:val="18"/>
              </w:rPr>
            </w:pPr>
            <w:r w:rsidRPr="00DB67A4">
              <w:rPr>
                <w:sz w:val="18"/>
                <w:szCs w:val="18"/>
              </w:rPr>
              <w:t>Si-28</w:t>
            </w:r>
          </w:p>
        </w:tc>
        <w:tc>
          <w:tcPr>
            <w:tcW w:w="1507" w:type="dxa"/>
            <w:tcBorders>
              <w:top w:val="nil"/>
              <w:left w:val="single" w:sz="4" w:space="0" w:color="auto"/>
              <w:bottom w:val="nil"/>
              <w:right w:val="single" w:sz="4" w:space="0" w:color="auto"/>
            </w:tcBorders>
          </w:tcPr>
          <w:p w14:paraId="14FC70E4" w14:textId="77777777" w:rsidR="00196090" w:rsidRPr="00DB67A4" w:rsidRDefault="00196090" w:rsidP="007D4C41">
            <w:pPr>
              <w:pStyle w:val="BodyTextIndent"/>
              <w:ind w:firstLine="0"/>
              <w:jc w:val="center"/>
              <w:rPr>
                <w:sz w:val="18"/>
                <w:szCs w:val="18"/>
              </w:rPr>
            </w:pPr>
            <w:r w:rsidRPr="00DB67A4">
              <w:rPr>
                <w:sz w:val="18"/>
                <w:szCs w:val="18"/>
              </w:rPr>
              <w:t>2.14680</w:t>
            </w:r>
          </w:p>
        </w:tc>
        <w:tc>
          <w:tcPr>
            <w:tcW w:w="502" w:type="dxa"/>
            <w:tcBorders>
              <w:top w:val="nil"/>
              <w:left w:val="single" w:sz="4" w:space="0" w:color="auto"/>
              <w:bottom w:val="nil"/>
              <w:right w:val="single" w:sz="4" w:space="0" w:color="auto"/>
            </w:tcBorders>
          </w:tcPr>
          <w:p w14:paraId="3383AA1A"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vAlign w:val="center"/>
          </w:tcPr>
          <w:p w14:paraId="5D218807" w14:textId="77777777" w:rsidR="00196090" w:rsidRPr="00DB67A4" w:rsidRDefault="00196090" w:rsidP="007D4C41">
            <w:pPr>
              <w:pStyle w:val="BodyTextIndent"/>
              <w:ind w:firstLine="0"/>
              <w:jc w:val="center"/>
              <w:rPr>
                <w:sz w:val="18"/>
                <w:szCs w:val="18"/>
              </w:rPr>
            </w:pPr>
            <w:r w:rsidRPr="00DB67A4">
              <w:rPr>
                <w:sz w:val="18"/>
                <w:szCs w:val="18"/>
              </w:rPr>
              <w:t>0.00012</w:t>
            </w:r>
          </w:p>
        </w:tc>
      </w:tr>
      <w:tr w:rsidR="00196090" w:rsidRPr="00DB67A4" w14:paraId="740787A0"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58CE2E59" w14:textId="77777777" w:rsidR="00196090" w:rsidRPr="00DB67A4" w:rsidRDefault="00196090" w:rsidP="007D4C41">
            <w:pPr>
              <w:pStyle w:val="BodyTextIndent"/>
              <w:ind w:firstLine="0"/>
              <w:jc w:val="left"/>
              <w:rPr>
                <w:sz w:val="18"/>
                <w:szCs w:val="18"/>
              </w:rPr>
            </w:pPr>
            <w:r w:rsidRPr="00DB67A4">
              <w:rPr>
                <w:sz w:val="18"/>
                <w:szCs w:val="18"/>
              </w:rPr>
              <w:t>Si-29</w:t>
            </w:r>
          </w:p>
        </w:tc>
        <w:tc>
          <w:tcPr>
            <w:tcW w:w="1507" w:type="dxa"/>
            <w:tcBorders>
              <w:top w:val="nil"/>
              <w:left w:val="single" w:sz="4" w:space="0" w:color="auto"/>
              <w:bottom w:val="nil"/>
              <w:right w:val="single" w:sz="4" w:space="0" w:color="auto"/>
            </w:tcBorders>
          </w:tcPr>
          <w:p w14:paraId="195F6626" w14:textId="77777777" w:rsidR="00196090" w:rsidRPr="00DB67A4" w:rsidRDefault="00196090" w:rsidP="007D4C41">
            <w:pPr>
              <w:pStyle w:val="BodyTextIndent"/>
              <w:ind w:firstLine="0"/>
              <w:jc w:val="center"/>
              <w:rPr>
                <w:sz w:val="18"/>
                <w:szCs w:val="18"/>
              </w:rPr>
            </w:pPr>
            <w:r w:rsidRPr="00DB67A4">
              <w:rPr>
                <w:sz w:val="18"/>
                <w:szCs w:val="18"/>
              </w:rPr>
              <w:t>0.10902</w:t>
            </w:r>
          </w:p>
        </w:tc>
        <w:tc>
          <w:tcPr>
            <w:tcW w:w="502" w:type="dxa"/>
            <w:tcBorders>
              <w:top w:val="nil"/>
              <w:left w:val="single" w:sz="4" w:space="0" w:color="auto"/>
              <w:bottom w:val="nil"/>
              <w:right w:val="single" w:sz="4" w:space="0" w:color="auto"/>
            </w:tcBorders>
          </w:tcPr>
          <w:p w14:paraId="7BDE845C"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vAlign w:val="center"/>
          </w:tcPr>
          <w:p w14:paraId="2288C558" w14:textId="77777777" w:rsidR="00196090" w:rsidRPr="00DB67A4" w:rsidRDefault="00196090" w:rsidP="007D4C41">
            <w:pPr>
              <w:pStyle w:val="BodyTextIndent"/>
              <w:ind w:firstLine="0"/>
              <w:jc w:val="center"/>
              <w:rPr>
                <w:sz w:val="18"/>
                <w:szCs w:val="18"/>
              </w:rPr>
            </w:pPr>
            <w:r w:rsidRPr="00DB67A4">
              <w:rPr>
                <w:sz w:val="18"/>
                <w:szCs w:val="18"/>
              </w:rPr>
              <w:t>0.00001</w:t>
            </w:r>
          </w:p>
        </w:tc>
      </w:tr>
      <w:tr w:rsidR="00196090" w:rsidRPr="00DB67A4" w14:paraId="4DAC7CAC" w14:textId="77777777" w:rsidTr="007964E0">
        <w:trPr>
          <w:trHeight w:val="231"/>
        </w:trPr>
        <w:tc>
          <w:tcPr>
            <w:tcW w:w="1163" w:type="dxa"/>
            <w:tcBorders>
              <w:top w:val="nil"/>
              <w:left w:val="single" w:sz="4" w:space="0" w:color="auto"/>
              <w:bottom w:val="nil"/>
              <w:right w:val="single" w:sz="4" w:space="0" w:color="auto"/>
            </w:tcBorders>
            <w:shd w:val="clear" w:color="auto" w:fill="auto"/>
            <w:vAlign w:val="bottom"/>
          </w:tcPr>
          <w:p w14:paraId="5FEAE9FA" w14:textId="77777777" w:rsidR="00196090" w:rsidRPr="00DB67A4" w:rsidRDefault="00196090" w:rsidP="007D4C41">
            <w:pPr>
              <w:pStyle w:val="BodyTextIndent"/>
              <w:ind w:firstLine="0"/>
              <w:jc w:val="left"/>
              <w:rPr>
                <w:sz w:val="18"/>
                <w:szCs w:val="18"/>
              </w:rPr>
            </w:pPr>
            <w:r w:rsidRPr="00DB67A4">
              <w:rPr>
                <w:sz w:val="18"/>
                <w:szCs w:val="18"/>
              </w:rPr>
              <w:t>Si-30</w:t>
            </w:r>
          </w:p>
        </w:tc>
        <w:tc>
          <w:tcPr>
            <w:tcW w:w="1507" w:type="dxa"/>
            <w:tcBorders>
              <w:top w:val="nil"/>
              <w:left w:val="single" w:sz="4" w:space="0" w:color="auto"/>
              <w:bottom w:val="nil"/>
              <w:right w:val="single" w:sz="4" w:space="0" w:color="auto"/>
            </w:tcBorders>
          </w:tcPr>
          <w:p w14:paraId="461E02FF" w14:textId="77777777" w:rsidR="00196090" w:rsidRPr="00DB67A4" w:rsidRDefault="00196090" w:rsidP="007D4C41">
            <w:pPr>
              <w:pStyle w:val="BodyTextIndent"/>
              <w:ind w:firstLine="0"/>
              <w:jc w:val="center"/>
              <w:rPr>
                <w:sz w:val="18"/>
                <w:szCs w:val="18"/>
              </w:rPr>
            </w:pPr>
            <w:r w:rsidRPr="00DB67A4">
              <w:rPr>
                <w:sz w:val="18"/>
                <w:szCs w:val="18"/>
              </w:rPr>
              <w:t>0.07186</w:t>
            </w:r>
          </w:p>
        </w:tc>
        <w:tc>
          <w:tcPr>
            <w:tcW w:w="502" w:type="dxa"/>
            <w:tcBorders>
              <w:top w:val="nil"/>
              <w:left w:val="single" w:sz="4" w:space="0" w:color="auto"/>
              <w:bottom w:val="nil"/>
              <w:right w:val="single" w:sz="4" w:space="0" w:color="auto"/>
            </w:tcBorders>
          </w:tcPr>
          <w:p w14:paraId="0865DDA9"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vAlign w:val="center"/>
          </w:tcPr>
          <w:p w14:paraId="46F55AE2" w14:textId="77777777" w:rsidR="00196090" w:rsidRPr="00DB67A4" w:rsidRDefault="00196090" w:rsidP="007D4C41">
            <w:pPr>
              <w:pStyle w:val="BodyTextIndent"/>
              <w:ind w:firstLine="0"/>
              <w:jc w:val="center"/>
              <w:rPr>
                <w:sz w:val="18"/>
                <w:szCs w:val="18"/>
              </w:rPr>
            </w:pPr>
            <w:r w:rsidRPr="00DB67A4">
              <w:rPr>
                <w:sz w:val="18"/>
                <w:szCs w:val="18"/>
              </w:rPr>
              <w:t>0.00000</w:t>
            </w:r>
          </w:p>
        </w:tc>
      </w:tr>
      <w:tr w:rsidR="00196090" w:rsidRPr="00DB67A4" w14:paraId="57C4695A"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6D37B3E4" w14:textId="77777777" w:rsidR="00196090" w:rsidRPr="00DB67A4" w:rsidRDefault="00196090" w:rsidP="007D4C41">
            <w:pPr>
              <w:pStyle w:val="BodyTextIndent"/>
              <w:ind w:firstLine="0"/>
              <w:jc w:val="left"/>
              <w:rPr>
                <w:sz w:val="18"/>
                <w:szCs w:val="18"/>
              </w:rPr>
            </w:pPr>
            <w:r w:rsidRPr="00DB67A4">
              <w:rPr>
                <w:sz w:val="18"/>
                <w:szCs w:val="18"/>
              </w:rPr>
              <w:t>Al-27</w:t>
            </w:r>
          </w:p>
        </w:tc>
        <w:tc>
          <w:tcPr>
            <w:tcW w:w="1507" w:type="dxa"/>
            <w:tcBorders>
              <w:top w:val="nil"/>
              <w:left w:val="single" w:sz="4" w:space="0" w:color="auto"/>
              <w:bottom w:val="nil"/>
              <w:right w:val="single" w:sz="4" w:space="0" w:color="auto"/>
            </w:tcBorders>
          </w:tcPr>
          <w:p w14:paraId="38B8C59F" w14:textId="77777777" w:rsidR="00196090" w:rsidRPr="00DB67A4" w:rsidRDefault="00196090" w:rsidP="007D4C41">
            <w:pPr>
              <w:pStyle w:val="BodyTextIndent"/>
              <w:ind w:firstLine="0"/>
              <w:jc w:val="center"/>
              <w:rPr>
                <w:sz w:val="18"/>
                <w:szCs w:val="18"/>
              </w:rPr>
            </w:pPr>
            <w:r w:rsidRPr="00DB67A4">
              <w:rPr>
                <w:sz w:val="18"/>
                <w:szCs w:val="18"/>
              </w:rPr>
              <w:t>15.78120</w:t>
            </w:r>
          </w:p>
        </w:tc>
        <w:tc>
          <w:tcPr>
            <w:tcW w:w="502" w:type="dxa"/>
            <w:tcBorders>
              <w:top w:val="nil"/>
              <w:left w:val="single" w:sz="4" w:space="0" w:color="auto"/>
              <w:bottom w:val="nil"/>
              <w:right w:val="single" w:sz="4" w:space="0" w:color="auto"/>
            </w:tcBorders>
          </w:tcPr>
          <w:p w14:paraId="2382279A"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vAlign w:val="center"/>
          </w:tcPr>
          <w:p w14:paraId="5335F352" w14:textId="77777777" w:rsidR="00196090" w:rsidRPr="00DB67A4" w:rsidRDefault="00196090" w:rsidP="007D4C41">
            <w:pPr>
              <w:pStyle w:val="BodyTextIndent"/>
              <w:ind w:firstLine="0"/>
              <w:jc w:val="center"/>
              <w:rPr>
                <w:sz w:val="18"/>
                <w:szCs w:val="18"/>
              </w:rPr>
            </w:pPr>
            <w:r w:rsidRPr="00DB67A4">
              <w:rPr>
                <w:sz w:val="18"/>
                <w:szCs w:val="18"/>
              </w:rPr>
              <w:t>0.00090</w:t>
            </w:r>
          </w:p>
        </w:tc>
      </w:tr>
      <w:tr w:rsidR="00196090" w:rsidRPr="00DB67A4" w14:paraId="4D57691D" w14:textId="77777777" w:rsidTr="007964E0">
        <w:trPr>
          <w:trHeight w:val="231"/>
        </w:trPr>
        <w:tc>
          <w:tcPr>
            <w:tcW w:w="1163" w:type="dxa"/>
            <w:tcBorders>
              <w:top w:val="nil"/>
              <w:left w:val="single" w:sz="4" w:space="0" w:color="auto"/>
              <w:bottom w:val="nil"/>
              <w:right w:val="single" w:sz="4" w:space="0" w:color="auto"/>
            </w:tcBorders>
            <w:shd w:val="clear" w:color="auto" w:fill="auto"/>
            <w:vAlign w:val="bottom"/>
          </w:tcPr>
          <w:p w14:paraId="250A965C" w14:textId="77777777" w:rsidR="00196090" w:rsidRPr="00DB67A4" w:rsidRDefault="00196090" w:rsidP="007D4C41">
            <w:pPr>
              <w:pStyle w:val="BodyTextIndent"/>
              <w:ind w:firstLine="0"/>
              <w:jc w:val="left"/>
              <w:rPr>
                <w:sz w:val="18"/>
                <w:szCs w:val="18"/>
              </w:rPr>
            </w:pPr>
            <w:r w:rsidRPr="00DB67A4">
              <w:rPr>
                <w:sz w:val="18"/>
                <w:szCs w:val="18"/>
              </w:rPr>
              <w:t>H-1</w:t>
            </w:r>
          </w:p>
        </w:tc>
        <w:tc>
          <w:tcPr>
            <w:tcW w:w="1507" w:type="dxa"/>
            <w:tcBorders>
              <w:top w:val="nil"/>
              <w:left w:val="single" w:sz="4" w:space="0" w:color="auto"/>
              <w:bottom w:val="nil"/>
              <w:right w:val="single" w:sz="4" w:space="0" w:color="auto"/>
            </w:tcBorders>
          </w:tcPr>
          <w:p w14:paraId="682476A5" w14:textId="77777777" w:rsidR="00196090" w:rsidRPr="00DB67A4" w:rsidRDefault="00196090" w:rsidP="007D4C41">
            <w:pPr>
              <w:pStyle w:val="BodyTextIndent"/>
              <w:ind w:firstLine="0"/>
              <w:jc w:val="center"/>
              <w:rPr>
                <w:sz w:val="18"/>
                <w:szCs w:val="18"/>
              </w:rPr>
            </w:pPr>
            <w:r w:rsidRPr="00DB67A4">
              <w:rPr>
                <w:sz w:val="18"/>
                <w:szCs w:val="18"/>
              </w:rPr>
              <w:t>74.93680</w:t>
            </w:r>
          </w:p>
        </w:tc>
        <w:tc>
          <w:tcPr>
            <w:tcW w:w="502" w:type="dxa"/>
            <w:tcBorders>
              <w:top w:val="nil"/>
              <w:left w:val="single" w:sz="4" w:space="0" w:color="auto"/>
              <w:bottom w:val="nil"/>
              <w:right w:val="single" w:sz="4" w:space="0" w:color="auto"/>
            </w:tcBorders>
          </w:tcPr>
          <w:p w14:paraId="59E87F57"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vAlign w:val="center"/>
          </w:tcPr>
          <w:p w14:paraId="476A1FEC" w14:textId="77777777" w:rsidR="00196090" w:rsidRPr="00DB67A4" w:rsidRDefault="00196090" w:rsidP="007D4C41">
            <w:pPr>
              <w:pStyle w:val="BodyTextIndent"/>
              <w:ind w:firstLine="0"/>
              <w:jc w:val="center"/>
              <w:rPr>
                <w:sz w:val="18"/>
                <w:szCs w:val="18"/>
              </w:rPr>
            </w:pPr>
            <w:r w:rsidRPr="00DB67A4">
              <w:rPr>
                <w:sz w:val="18"/>
                <w:szCs w:val="18"/>
              </w:rPr>
              <w:t>0.00250</w:t>
            </w:r>
          </w:p>
        </w:tc>
      </w:tr>
      <w:tr w:rsidR="00196090" w:rsidRPr="00DB67A4" w14:paraId="1F08BBFB"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2D686935" w14:textId="77777777" w:rsidR="00196090" w:rsidRPr="00DB67A4" w:rsidRDefault="00196090" w:rsidP="007D4C41">
            <w:pPr>
              <w:pStyle w:val="BodyTextIndent"/>
              <w:ind w:firstLine="0"/>
              <w:jc w:val="left"/>
              <w:rPr>
                <w:sz w:val="18"/>
                <w:szCs w:val="18"/>
              </w:rPr>
            </w:pPr>
            <w:r w:rsidRPr="00DB67A4">
              <w:rPr>
                <w:sz w:val="18"/>
                <w:szCs w:val="18"/>
              </w:rPr>
              <w:t>H-2</w:t>
            </w:r>
          </w:p>
        </w:tc>
        <w:tc>
          <w:tcPr>
            <w:tcW w:w="1507" w:type="dxa"/>
            <w:tcBorders>
              <w:top w:val="nil"/>
              <w:left w:val="single" w:sz="4" w:space="0" w:color="auto"/>
              <w:bottom w:val="nil"/>
              <w:right w:val="single" w:sz="4" w:space="0" w:color="auto"/>
            </w:tcBorders>
          </w:tcPr>
          <w:p w14:paraId="73337DE4" w14:textId="77777777" w:rsidR="00196090" w:rsidRPr="00DB67A4" w:rsidRDefault="00196090" w:rsidP="007D4C41">
            <w:pPr>
              <w:pStyle w:val="BodyTextIndent"/>
              <w:ind w:firstLine="0"/>
              <w:jc w:val="center"/>
              <w:rPr>
                <w:sz w:val="18"/>
                <w:szCs w:val="18"/>
              </w:rPr>
            </w:pPr>
            <w:r w:rsidRPr="00DB67A4">
              <w:rPr>
                <w:sz w:val="18"/>
                <w:szCs w:val="18"/>
              </w:rPr>
              <w:t>0.01167</w:t>
            </w:r>
          </w:p>
        </w:tc>
        <w:tc>
          <w:tcPr>
            <w:tcW w:w="502" w:type="dxa"/>
            <w:tcBorders>
              <w:top w:val="nil"/>
              <w:left w:val="single" w:sz="4" w:space="0" w:color="auto"/>
              <w:bottom w:val="nil"/>
              <w:right w:val="single" w:sz="4" w:space="0" w:color="auto"/>
            </w:tcBorders>
          </w:tcPr>
          <w:p w14:paraId="19718C9D"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vAlign w:val="center"/>
          </w:tcPr>
          <w:p w14:paraId="342C3562" w14:textId="77777777" w:rsidR="00196090" w:rsidRPr="00DB67A4" w:rsidRDefault="00196090" w:rsidP="007D4C41">
            <w:pPr>
              <w:pStyle w:val="BodyTextIndent"/>
              <w:ind w:firstLine="0"/>
              <w:jc w:val="center"/>
              <w:rPr>
                <w:sz w:val="18"/>
                <w:szCs w:val="18"/>
              </w:rPr>
            </w:pPr>
            <w:r w:rsidRPr="00DB67A4">
              <w:rPr>
                <w:sz w:val="18"/>
                <w:szCs w:val="18"/>
              </w:rPr>
              <w:t>0.00000</w:t>
            </w:r>
          </w:p>
        </w:tc>
      </w:tr>
      <w:tr w:rsidR="00196090" w:rsidRPr="00DB67A4" w14:paraId="1639CEEB"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2D205BAF" w14:textId="77777777" w:rsidR="00196090" w:rsidRPr="00DB67A4" w:rsidRDefault="00196090" w:rsidP="007D4C41">
            <w:pPr>
              <w:pStyle w:val="BodyTextIndent"/>
              <w:ind w:firstLine="0"/>
              <w:jc w:val="left"/>
              <w:rPr>
                <w:sz w:val="18"/>
                <w:szCs w:val="18"/>
              </w:rPr>
            </w:pPr>
            <w:r w:rsidRPr="00DB67A4">
              <w:rPr>
                <w:sz w:val="18"/>
                <w:szCs w:val="18"/>
              </w:rPr>
              <w:t>O-16</w:t>
            </w:r>
          </w:p>
        </w:tc>
        <w:tc>
          <w:tcPr>
            <w:tcW w:w="1507" w:type="dxa"/>
            <w:tcBorders>
              <w:top w:val="nil"/>
              <w:left w:val="single" w:sz="4" w:space="0" w:color="auto"/>
              <w:bottom w:val="nil"/>
              <w:right w:val="single" w:sz="4" w:space="0" w:color="auto"/>
            </w:tcBorders>
          </w:tcPr>
          <w:p w14:paraId="41DFEAD3" w14:textId="77777777" w:rsidR="00196090" w:rsidRPr="00DB67A4" w:rsidRDefault="00196090" w:rsidP="007D4C41">
            <w:pPr>
              <w:pStyle w:val="BodyTextIndent"/>
              <w:ind w:firstLine="0"/>
              <w:jc w:val="center"/>
              <w:rPr>
                <w:sz w:val="18"/>
                <w:szCs w:val="18"/>
              </w:rPr>
            </w:pPr>
            <w:r w:rsidRPr="00DB67A4">
              <w:rPr>
                <w:sz w:val="18"/>
                <w:szCs w:val="18"/>
              </w:rPr>
              <w:t>37.46000</w:t>
            </w:r>
          </w:p>
        </w:tc>
        <w:tc>
          <w:tcPr>
            <w:tcW w:w="502" w:type="dxa"/>
            <w:tcBorders>
              <w:top w:val="nil"/>
              <w:left w:val="single" w:sz="4" w:space="0" w:color="auto"/>
              <w:bottom w:val="nil"/>
              <w:right w:val="single" w:sz="4" w:space="0" w:color="auto"/>
            </w:tcBorders>
          </w:tcPr>
          <w:p w14:paraId="46407F36"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vAlign w:val="center"/>
          </w:tcPr>
          <w:p w14:paraId="335D1D4D" w14:textId="77777777" w:rsidR="00196090" w:rsidRPr="00DB67A4" w:rsidRDefault="00196090" w:rsidP="007D4C41">
            <w:pPr>
              <w:pStyle w:val="BodyTextIndent"/>
              <w:ind w:firstLine="0"/>
              <w:jc w:val="center"/>
              <w:rPr>
                <w:sz w:val="18"/>
                <w:szCs w:val="18"/>
              </w:rPr>
            </w:pPr>
            <w:r w:rsidRPr="00DB67A4">
              <w:rPr>
                <w:sz w:val="18"/>
                <w:szCs w:val="18"/>
              </w:rPr>
              <w:t>0.00120</w:t>
            </w:r>
          </w:p>
        </w:tc>
      </w:tr>
      <w:tr w:rsidR="00196090" w:rsidRPr="00DB67A4" w14:paraId="5A6EE145" w14:textId="77777777" w:rsidTr="007964E0">
        <w:trPr>
          <w:trHeight w:val="231"/>
        </w:trPr>
        <w:tc>
          <w:tcPr>
            <w:tcW w:w="1163" w:type="dxa"/>
            <w:tcBorders>
              <w:top w:val="nil"/>
              <w:left w:val="single" w:sz="4" w:space="0" w:color="auto"/>
              <w:bottom w:val="single" w:sz="4" w:space="0" w:color="auto"/>
              <w:right w:val="single" w:sz="4" w:space="0" w:color="auto"/>
            </w:tcBorders>
            <w:shd w:val="clear" w:color="auto" w:fill="auto"/>
            <w:vAlign w:val="bottom"/>
          </w:tcPr>
          <w:p w14:paraId="42C3CCD6" w14:textId="77777777" w:rsidR="00196090" w:rsidRPr="00DB67A4" w:rsidRDefault="00196090" w:rsidP="007D4C41">
            <w:pPr>
              <w:pStyle w:val="BodyTextIndent"/>
              <w:ind w:firstLine="0"/>
              <w:jc w:val="left"/>
              <w:rPr>
                <w:sz w:val="18"/>
                <w:szCs w:val="18"/>
              </w:rPr>
            </w:pPr>
            <w:r w:rsidRPr="00DB67A4">
              <w:rPr>
                <w:sz w:val="18"/>
                <w:szCs w:val="18"/>
              </w:rPr>
              <w:t>O-17</w:t>
            </w:r>
          </w:p>
        </w:tc>
        <w:tc>
          <w:tcPr>
            <w:tcW w:w="1507" w:type="dxa"/>
            <w:tcBorders>
              <w:top w:val="nil"/>
              <w:left w:val="single" w:sz="4" w:space="0" w:color="auto"/>
              <w:bottom w:val="single" w:sz="4" w:space="0" w:color="auto"/>
              <w:right w:val="single" w:sz="4" w:space="0" w:color="auto"/>
            </w:tcBorders>
          </w:tcPr>
          <w:p w14:paraId="68E589C4" w14:textId="77777777" w:rsidR="00196090" w:rsidRPr="00DB67A4" w:rsidRDefault="00196090" w:rsidP="007D4C41">
            <w:pPr>
              <w:pStyle w:val="BodyTextIndent"/>
              <w:ind w:firstLine="0"/>
              <w:jc w:val="center"/>
              <w:rPr>
                <w:sz w:val="18"/>
                <w:szCs w:val="18"/>
              </w:rPr>
            </w:pPr>
            <w:r w:rsidRPr="00DB67A4">
              <w:rPr>
                <w:sz w:val="18"/>
                <w:szCs w:val="18"/>
              </w:rPr>
              <w:t>0.01420</w:t>
            </w:r>
          </w:p>
        </w:tc>
        <w:tc>
          <w:tcPr>
            <w:tcW w:w="502" w:type="dxa"/>
            <w:tcBorders>
              <w:top w:val="nil"/>
              <w:left w:val="single" w:sz="4" w:space="0" w:color="auto"/>
              <w:bottom w:val="single" w:sz="4" w:space="0" w:color="auto"/>
              <w:right w:val="single" w:sz="4" w:space="0" w:color="auto"/>
            </w:tcBorders>
          </w:tcPr>
          <w:p w14:paraId="48E314D2" w14:textId="77777777" w:rsidR="00196090" w:rsidRPr="00DB67A4" w:rsidRDefault="0019609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single" w:sz="4" w:space="0" w:color="auto"/>
              <w:right w:val="single" w:sz="4" w:space="0" w:color="auto"/>
            </w:tcBorders>
            <w:vAlign w:val="center"/>
          </w:tcPr>
          <w:p w14:paraId="4AA2965A" w14:textId="77777777" w:rsidR="00196090" w:rsidRPr="00DB67A4" w:rsidRDefault="00196090" w:rsidP="007D4C41">
            <w:pPr>
              <w:pStyle w:val="BodyTextIndent"/>
              <w:ind w:firstLine="0"/>
              <w:jc w:val="center"/>
              <w:rPr>
                <w:sz w:val="18"/>
                <w:szCs w:val="18"/>
              </w:rPr>
            </w:pPr>
            <w:r w:rsidRPr="00DB67A4">
              <w:rPr>
                <w:sz w:val="18"/>
                <w:szCs w:val="18"/>
              </w:rPr>
              <w:t>0.00000</w:t>
            </w:r>
          </w:p>
        </w:tc>
      </w:tr>
    </w:tbl>
    <w:p w14:paraId="5F5F3243" w14:textId="7C1F85B6" w:rsidR="00196090" w:rsidRPr="00DB67A4" w:rsidRDefault="00196090" w:rsidP="00196090">
      <w:pPr>
        <w:pStyle w:val="BodyTextIndent"/>
        <w:jc w:val="left"/>
        <w:rPr>
          <w:i/>
          <w:iCs/>
        </w:rPr>
      </w:pPr>
    </w:p>
    <w:p w14:paraId="79318F64" w14:textId="0E12E8AF" w:rsidR="00196090" w:rsidRPr="00DB67A4" w:rsidRDefault="00196090" w:rsidP="00DB67A4">
      <w:pPr>
        <w:pStyle w:val="BodyTextIndent"/>
        <w:jc w:val="left"/>
        <w:rPr>
          <w:i/>
          <w:iCs/>
        </w:rPr>
      </w:pPr>
      <w:r w:rsidRPr="00DB67A4">
        <w:rPr>
          <w:i/>
          <w:iCs/>
        </w:rPr>
        <w:t xml:space="preserve">Table </w:t>
      </w:r>
      <w:r w:rsidR="00DB67A4" w:rsidRPr="00DB67A4">
        <w:rPr>
          <w:i/>
          <w:iCs/>
        </w:rPr>
        <w:t>III</w:t>
      </w:r>
      <w:r w:rsidRPr="00DB67A4">
        <w:rPr>
          <w:i/>
          <w:iCs/>
        </w:rPr>
        <w:t>.</w:t>
      </w:r>
      <w:r w:rsidR="00F90934" w:rsidRPr="00DB67A4">
        <w:rPr>
          <w:i/>
          <w:iCs/>
        </w:rPr>
        <w:t>3</w:t>
      </w:r>
      <w:r w:rsidRPr="00DB67A4">
        <w:rPr>
          <w:i/>
          <w:iCs/>
        </w:rPr>
        <w:t xml:space="preserve"> Atomic Statistics Calculation</w:t>
      </w:r>
      <w:r w:rsidR="00F90934" w:rsidRPr="00DB67A4">
        <w:rPr>
          <w:i/>
          <w:iCs/>
        </w:rPr>
        <w:t xml:space="preserve"> Difference Between Curved and</w:t>
      </w:r>
      <w:r w:rsidRPr="00DB67A4">
        <w:rPr>
          <w:i/>
          <w:iCs/>
        </w:rPr>
        <w:t xml:space="preserve"> Flat </w:t>
      </w:r>
    </w:p>
    <w:tbl>
      <w:tblPr>
        <w:tblW w:w="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507"/>
        <w:gridCol w:w="502"/>
        <w:gridCol w:w="1512"/>
      </w:tblGrid>
      <w:tr w:rsidR="00F90934" w:rsidRPr="00DB67A4" w14:paraId="7B7CBBBD" w14:textId="77777777" w:rsidTr="007964E0">
        <w:trPr>
          <w:trHeight w:val="221"/>
        </w:trPr>
        <w:tc>
          <w:tcPr>
            <w:tcW w:w="1163" w:type="dxa"/>
            <w:vMerge w:val="restart"/>
            <w:tcBorders>
              <w:top w:val="single" w:sz="4" w:space="0" w:color="auto"/>
              <w:left w:val="single" w:sz="4" w:space="0" w:color="auto"/>
              <w:bottom w:val="single" w:sz="4" w:space="0" w:color="auto"/>
              <w:right w:val="single" w:sz="4" w:space="0" w:color="auto"/>
            </w:tcBorders>
            <w:vAlign w:val="center"/>
          </w:tcPr>
          <w:p w14:paraId="55A2D791" w14:textId="77777777" w:rsidR="00F90934" w:rsidRPr="00DB67A4" w:rsidRDefault="00F90934" w:rsidP="007D4C41">
            <w:pPr>
              <w:pStyle w:val="BodyTextIndent"/>
              <w:ind w:firstLine="0"/>
              <w:jc w:val="left"/>
              <w:rPr>
                <w:sz w:val="18"/>
                <w:szCs w:val="18"/>
              </w:rPr>
            </w:pPr>
            <w:r w:rsidRPr="00DB67A4">
              <w:rPr>
                <w:sz w:val="18"/>
                <w:szCs w:val="18"/>
              </w:rPr>
              <w:t>Atoms</w:t>
            </w:r>
          </w:p>
        </w:tc>
        <w:tc>
          <w:tcPr>
            <w:tcW w:w="3521" w:type="dxa"/>
            <w:gridSpan w:val="3"/>
            <w:tcBorders>
              <w:top w:val="single" w:sz="4" w:space="0" w:color="auto"/>
              <w:left w:val="single" w:sz="4" w:space="0" w:color="auto"/>
              <w:bottom w:val="single" w:sz="4" w:space="0" w:color="auto"/>
              <w:right w:val="single" w:sz="4" w:space="0" w:color="auto"/>
            </w:tcBorders>
            <w:vAlign w:val="center"/>
          </w:tcPr>
          <w:p w14:paraId="6334CBD6" w14:textId="310A6571" w:rsidR="00F90934" w:rsidRPr="00DB67A4" w:rsidRDefault="00F90934" w:rsidP="007D4C41">
            <w:pPr>
              <w:pStyle w:val="BodyTextIndent"/>
              <w:ind w:firstLine="0"/>
              <w:jc w:val="center"/>
              <w:rPr>
                <w:sz w:val="18"/>
                <w:szCs w:val="18"/>
              </w:rPr>
            </w:pPr>
            <w:r w:rsidRPr="00DB67A4">
              <w:rPr>
                <w:sz w:val="18"/>
                <w:szCs w:val="18"/>
              </w:rPr>
              <w:t>Differences</w:t>
            </w:r>
          </w:p>
        </w:tc>
      </w:tr>
      <w:tr w:rsidR="00F90934" w:rsidRPr="00DB67A4" w14:paraId="385DE09D" w14:textId="77777777" w:rsidTr="007964E0">
        <w:trPr>
          <w:trHeight w:val="231"/>
        </w:trPr>
        <w:tc>
          <w:tcPr>
            <w:tcW w:w="1163" w:type="dxa"/>
            <w:vMerge/>
            <w:tcBorders>
              <w:top w:val="single" w:sz="4" w:space="0" w:color="auto"/>
              <w:left w:val="single" w:sz="4" w:space="0" w:color="auto"/>
              <w:bottom w:val="single" w:sz="4" w:space="0" w:color="auto"/>
              <w:right w:val="single" w:sz="4" w:space="0" w:color="auto"/>
            </w:tcBorders>
            <w:vAlign w:val="center"/>
          </w:tcPr>
          <w:p w14:paraId="7B3B2A2F" w14:textId="77777777" w:rsidR="00F90934" w:rsidRPr="00DB67A4" w:rsidRDefault="00F90934" w:rsidP="007D4C41">
            <w:pPr>
              <w:pStyle w:val="BodyTextIndent"/>
              <w:ind w:firstLine="0"/>
              <w:jc w:val="left"/>
              <w:rPr>
                <w:sz w:val="18"/>
                <w:szCs w:val="18"/>
              </w:rPr>
            </w:pPr>
          </w:p>
        </w:tc>
        <w:tc>
          <w:tcPr>
            <w:tcW w:w="1507" w:type="dxa"/>
            <w:tcBorders>
              <w:top w:val="single" w:sz="4" w:space="0" w:color="auto"/>
              <w:left w:val="single" w:sz="4" w:space="0" w:color="auto"/>
              <w:bottom w:val="nil"/>
              <w:right w:val="single" w:sz="4" w:space="0" w:color="auto"/>
            </w:tcBorders>
            <w:vAlign w:val="center"/>
          </w:tcPr>
          <w:p w14:paraId="27CE35E7" w14:textId="76E27072" w:rsidR="00F90934" w:rsidRPr="00DB67A4" w:rsidRDefault="00F90934" w:rsidP="007D4C41">
            <w:pPr>
              <w:pStyle w:val="BodyTextIndent"/>
              <w:ind w:firstLine="0"/>
              <w:jc w:val="left"/>
              <w:rPr>
                <w:sz w:val="18"/>
                <w:szCs w:val="18"/>
              </w:rPr>
            </w:pPr>
            <m:oMathPara>
              <m:oMath>
                <m:r>
                  <m:rPr>
                    <m:sty m:val="bi"/>
                  </m:rPr>
                  <w:rPr>
                    <w:rFonts w:ascii="Cambria Math" w:hAnsi="Cambria Math"/>
                    <w:sz w:val="18"/>
                    <w:szCs w:val="18"/>
                  </w:rPr>
                  <m:t>∆atoms</m:t>
                </m:r>
                <m:r>
                  <m:rPr>
                    <m:sty m:val="p"/>
                  </m:rPr>
                  <w:rPr>
                    <w:rFonts w:ascii="Cambria Math" w:hAnsi="Cambria Math"/>
                    <w:sz w:val="18"/>
                    <w:szCs w:val="18"/>
                  </w:rPr>
                  <m:t xml:space="preserve">  </m:t>
                </m:r>
              </m:oMath>
            </m:oMathPara>
          </w:p>
        </w:tc>
        <w:tc>
          <w:tcPr>
            <w:tcW w:w="502" w:type="dxa"/>
            <w:vMerge w:val="restart"/>
            <w:tcBorders>
              <w:top w:val="single" w:sz="4" w:space="0" w:color="auto"/>
              <w:left w:val="single" w:sz="4" w:space="0" w:color="auto"/>
              <w:right w:val="single" w:sz="4" w:space="0" w:color="auto"/>
            </w:tcBorders>
            <w:vAlign w:val="center"/>
          </w:tcPr>
          <w:p w14:paraId="2CF696E4" w14:textId="77777777" w:rsidR="00F90934" w:rsidRPr="00DB67A4" w:rsidRDefault="00F90934"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vAlign w:val="center"/>
          </w:tcPr>
          <w:p w14:paraId="0B07769B" w14:textId="77777777" w:rsidR="00F90934" w:rsidRPr="00DB67A4" w:rsidRDefault="00F90934" w:rsidP="007D4C41">
            <w:pPr>
              <w:pStyle w:val="BodyTextIndent"/>
              <w:ind w:firstLine="0"/>
              <w:jc w:val="center"/>
              <w:rPr>
                <w:sz w:val="18"/>
                <w:szCs w:val="18"/>
              </w:rPr>
            </w:pPr>
            <m:oMathPara>
              <m:oMath>
                <m:r>
                  <m:rPr>
                    <m:sty m:val="bi"/>
                  </m:rPr>
                  <w:rPr>
                    <w:rFonts w:ascii="Cambria Math" w:hAnsi="Cambria Math"/>
                    <w:sz w:val="18"/>
                    <w:szCs w:val="18"/>
                  </w:rPr>
                  <m:t>σ</m:t>
                </m:r>
              </m:oMath>
            </m:oMathPara>
          </w:p>
        </w:tc>
      </w:tr>
      <w:tr w:rsidR="00F90934" w:rsidRPr="00DB67A4" w14:paraId="1883E214" w14:textId="77777777" w:rsidTr="007964E0">
        <w:trPr>
          <w:trHeight w:val="461"/>
        </w:trPr>
        <w:tc>
          <w:tcPr>
            <w:tcW w:w="1163" w:type="dxa"/>
            <w:vMerge/>
            <w:tcBorders>
              <w:top w:val="single" w:sz="4" w:space="0" w:color="auto"/>
              <w:left w:val="single" w:sz="4" w:space="0" w:color="auto"/>
              <w:bottom w:val="single" w:sz="4" w:space="0" w:color="auto"/>
              <w:right w:val="single" w:sz="4" w:space="0" w:color="auto"/>
            </w:tcBorders>
          </w:tcPr>
          <w:p w14:paraId="047ECBBE" w14:textId="77777777" w:rsidR="00F90934" w:rsidRPr="00DB67A4" w:rsidRDefault="00F90934" w:rsidP="007D4C41">
            <w:pPr>
              <w:pStyle w:val="BodyTextIndent"/>
              <w:ind w:firstLine="0"/>
              <w:jc w:val="left"/>
              <w:rPr>
                <w:sz w:val="18"/>
                <w:szCs w:val="18"/>
              </w:rPr>
            </w:pPr>
          </w:p>
        </w:tc>
        <w:tc>
          <w:tcPr>
            <w:tcW w:w="1507" w:type="dxa"/>
            <w:tcBorders>
              <w:top w:val="nil"/>
              <w:left w:val="single" w:sz="4" w:space="0" w:color="auto"/>
              <w:bottom w:val="single" w:sz="4" w:space="0" w:color="auto"/>
              <w:right w:val="single" w:sz="4" w:space="0" w:color="auto"/>
            </w:tcBorders>
            <w:vAlign w:val="center"/>
          </w:tcPr>
          <w:p w14:paraId="0F5AF04C" w14:textId="77777777" w:rsidR="00F90934" w:rsidRPr="00DB67A4" w:rsidRDefault="00F90934" w:rsidP="007D4C41">
            <w:pPr>
              <w:pStyle w:val="BodyTextIndent"/>
              <w:ind w:firstLine="0"/>
              <w:jc w:val="left"/>
              <w:rPr>
                <w:sz w:val="18"/>
                <w:szCs w:val="18"/>
              </w:rPr>
            </w:pPr>
            <m:oMathPara>
              <m:oMath>
                <m:r>
                  <m:rPr>
                    <m:sty m:val="p"/>
                  </m:rPr>
                  <w:rPr>
                    <w:rFonts w:ascii="Cambria Math" w:hAnsi="Cambria Math"/>
                    <w:sz w:val="18"/>
                    <w:szCs w:val="18"/>
                  </w:rPr>
                  <m:t>[×</m:t>
                </m:r>
                <m:r>
                  <m:rPr>
                    <m:sty m:val="b"/>
                  </m:rPr>
                  <w:rPr>
                    <w:rFonts w:ascii="Cambria Math" w:hAnsi="Cambria Math"/>
                    <w:sz w:val="18"/>
                    <w:szCs w:val="18"/>
                  </w:rPr>
                  <m:t>1</m:t>
                </m:r>
                <m:sSup>
                  <m:sSupPr>
                    <m:ctrlPr>
                      <w:rPr>
                        <w:rFonts w:ascii="Cambria Math" w:hAnsi="Cambria Math"/>
                        <w:sz w:val="18"/>
                        <w:szCs w:val="18"/>
                      </w:rPr>
                    </m:ctrlPr>
                  </m:sSupPr>
                  <m:e>
                    <m:r>
                      <m:rPr>
                        <m:sty m:val="b"/>
                      </m:rPr>
                      <w:rPr>
                        <w:rFonts w:ascii="Cambria Math" w:hAnsi="Cambria Math"/>
                        <w:sz w:val="18"/>
                        <w:szCs w:val="18"/>
                      </w:rPr>
                      <m:t>0</m:t>
                    </m:r>
                  </m:e>
                  <m:sup>
                    <m:r>
                      <m:rPr>
                        <m:sty m:val="b"/>
                      </m:rPr>
                      <w:rPr>
                        <w:rFonts w:ascii="Cambria Math" w:hAnsi="Cambria Math"/>
                        <w:sz w:val="18"/>
                        <w:szCs w:val="18"/>
                      </w:rPr>
                      <m:t>21</m:t>
                    </m:r>
                  </m:sup>
                </m:sSup>
                <m:r>
                  <m:rPr>
                    <m:sty m:val="p"/>
                  </m:rPr>
                  <w:rPr>
                    <w:rFonts w:ascii="Cambria Math" w:hAnsi="Cambria Math"/>
                    <w:sz w:val="18"/>
                    <w:szCs w:val="18"/>
                  </w:rPr>
                  <m:t>]</m:t>
                </m:r>
              </m:oMath>
            </m:oMathPara>
          </w:p>
        </w:tc>
        <w:tc>
          <w:tcPr>
            <w:tcW w:w="502" w:type="dxa"/>
            <w:vMerge/>
            <w:tcBorders>
              <w:left w:val="single" w:sz="4" w:space="0" w:color="auto"/>
              <w:bottom w:val="single" w:sz="4" w:space="0" w:color="auto"/>
              <w:right w:val="single" w:sz="4" w:space="0" w:color="auto"/>
            </w:tcBorders>
            <w:vAlign w:val="center"/>
          </w:tcPr>
          <w:p w14:paraId="2EC156E5" w14:textId="77777777" w:rsidR="00F90934" w:rsidRPr="00DB67A4" w:rsidRDefault="00F90934" w:rsidP="007D4C41">
            <w:pPr>
              <w:pStyle w:val="BodyTextIndent"/>
              <w:ind w:firstLine="0"/>
              <w:jc w:val="center"/>
              <w:rPr>
                <w:sz w:val="18"/>
                <w:szCs w:val="18"/>
              </w:rPr>
            </w:pPr>
          </w:p>
        </w:tc>
        <w:tc>
          <w:tcPr>
            <w:tcW w:w="1512" w:type="dxa"/>
            <w:tcBorders>
              <w:top w:val="nil"/>
              <w:left w:val="single" w:sz="4" w:space="0" w:color="auto"/>
              <w:bottom w:val="single" w:sz="4" w:space="0" w:color="auto"/>
              <w:right w:val="single" w:sz="4" w:space="0" w:color="auto"/>
            </w:tcBorders>
            <w:vAlign w:val="center"/>
          </w:tcPr>
          <w:p w14:paraId="4A2F6D60" w14:textId="77777777" w:rsidR="00F90934" w:rsidRPr="00DB67A4" w:rsidRDefault="00F90934" w:rsidP="007D4C41">
            <w:pPr>
              <w:pStyle w:val="BodyTextIndent"/>
              <w:ind w:firstLine="0"/>
              <w:jc w:val="center"/>
              <w:rPr>
                <w:sz w:val="18"/>
                <w:szCs w:val="18"/>
              </w:rPr>
            </w:pPr>
            <m:oMathPara>
              <m:oMath>
                <m:r>
                  <m:rPr>
                    <m:sty m:val="p"/>
                  </m:rPr>
                  <w:rPr>
                    <w:rFonts w:ascii="Cambria Math" w:hAnsi="Cambria Math"/>
                    <w:sz w:val="18"/>
                    <w:szCs w:val="18"/>
                  </w:rPr>
                  <m:t>[×</m:t>
                </m:r>
                <m:r>
                  <m:rPr>
                    <m:sty m:val="b"/>
                  </m:rPr>
                  <w:rPr>
                    <w:rFonts w:ascii="Cambria Math" w:hAnsi="Cambria Math"/>
                    <w:sz w:val="18"/>
                    <w:szCs w:val="18"/>
                  </w:rPr>
                  <m:t>1</m:t>
                </m:r>
                <m:sSup>
                  <m:sSupPr>
                    <m:ctrlPr>
                      <w:rPr>
                        <w:rFonts w:ascii="Cambria Math" w:hAnsi="Cambria Math"/>
                        <w:sz w:val="18"/>
                        <w:szCs w:val="18"/>
                      </w:rPr>
                    </m:ctrlPr>
                  </m:sSupPr>
                  <m:e>
                    <m:r>
                      <m:rPr>
                        <m:sty m:val="b"/>
                      </m:rPr>
                      <w:rPr>
                        <w:rFonts w:ascii="Cambria Math" w:hAnsi="Cambria Math"/>
                        <w:sz w:val="18"/>
                        <w:szCs w:val="18"/>
                      </w:rPr>
                      <m:t>0</m:t>
                    </m:r>
                  </m:e>
                  <m:sup>
                    <m:r>
                      <m:rPr>
                        <m:sty m:val="b"/>
                      </m:rPr>
                      <w:rPr>
                        <w:rFonts w:ascii="Cambria Math" w:hAnsi="Cambria Math"/>
                        <w:sz w:val="18"/>
                        <w:szCs w:val="18"/>
                      </w:rPr>
                      <m:t>21</m:t>
                    </m:r>
                  </m:sup>
                </m:sSup>
                <m:r>
                  <m:rPr>
                    <m:sty m:val="p"/>
                  </m:rPr>
                  <w:rPr>
                    <w:rFonts w:ascii="Cambria Math" w:hAnsi="Cambria Math"/>
                    <w:sz w:val="18"/>
                    <w:szCs w:val="18"/>
                  </w:rPr>
                  <m:t>]</m:t>
                </m:r>
              </m:oMath>
            </m:oMathPara>
          </w:p>
        </w:tc>
      </w:tr>
      <w:tr w:rsidR="00F90934" w:rsidRPr="00DB67A4" w14:paraId="43A652FC" w14:textId="77777777" w:rsidTr="007964E0">
        <w:trPr>
          <w:trHeight w:val="221"/>
        </w:trPr>
        <w:tc>
          <w:tcPr>
            <w:tcW w:w="1163" w:type="dxa"/>
            <w:tcBorders>
              <w:top w:val="single" w:sz="4" w:space="0" w:color="auto"/>
              <w:left w:val="single" w:sz="4" w:space="0" w:color="auto"/>
              <w:bottom w:val="nil"/>
              <w:right w:val="single" w:sz="4" w:space="0" w:color="auto"/>
            </w:tcBorders>
            <w:shd w:val="clear" w:color="auto" w:fill="auto"/>
            <w:vAlign w:val="bottom"/>
          </w:tcPr>
          <w:p w14:paraId="1684E9D1" w14:textId="77777777" w:rsidR="00F90934" w:rsidRPr="00DB67A4" w:rsidRDefault="00F90934" w:rsidP="00F90934">
            <w:pPr>
              <w:pStyle w:val="BodyTextIndent"/>
              <w:ind w:firstLine="0"/>
              <w:jc w:val="left"/>
              <w:rPr>
                <w:sz w:val="18"/>
                <w:szCs w:val="18"/>
              </w:rPr>
            </w:pPr>
            <w:r w:rsidRPr="00DB67A4">
              <w:rPr>
                <w:sz w:val="18"/>
                <w:szCs w:val="18"/>
              </w:rPr>
              <w:t>U-238</w:t>
            </w:r>
          </w:p>
        </w:tc>
        <w:tc>
          <w:tcPr>
            <w:tcW w:w="1507" w:type="dxa"/>
            <w:tcBorders>
              <w:top w:val="single" w:sz="4" w:space="0" w:color="auto"/>
              <w:left w:val="single" w:sz="4" w:space="0" w:color="auto"/>
              <w:bottom w:val="nil"/>
              <w:right w:val="single" w:sz="4" w:space="0" w:color="auto"/>
            </w:tcBorders>
          </w:tcPr>
          <w:p w14:paraId="040AB485" w14:textId="171A43C3" w:rsidR="00F90934" w:rsidRPr="00DB67A4" w:rsidRDefault="00F90934" w:rsidP="00F90934">
            <w:pPr>
              <w:pStyle w:val="BodyTextIndent"/>
              <w:ind w:firstLine="0"/>
              <w:jc w:val="center"/>
              <w:rPr>
                <w:sz w:val="18"/>
                <w:szCs w:val="18"/>
              </w:rPr>
            </w:pPr>
            <w:r w:rsidRPr="00DB67A4">
              <w:rPr>
                <w:sz w:val="18"/>
                <w:szCs w:val="18"/>
              </w:rPr>
              <w:t>0.00071</w:t>
            </w:r>
          </w:p>
        </w:tc>
        <w:tc>
          <w:tcPr>
            <w:tcW w:w="502" w:type="dxa"/>
            <w:tcBorders>
              <w:top w:val="single" w:sz="4" w:space="0" w:color="auto"/>
              <w:left w:val="single" w:sz="4" w:space="0" w:color="auto"/>
              <w:bottom w:val="nil"/>
              <w:right w:val="single" w:sz="4" w:space="0" w:color="auto"/>
            </w:tcBorders>
          </w:tcPr>
          <w:p w14:paraId="29BC11A2"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tcPr>
          <w:p w14:paraId="2EFD39FC" w14:textId="3F8E3C9C" w:rsidR="00F90934" w:rsidRPr="00DB67A4" w:rsidRDefault="00F90934" w:rsidP="00F90934">
            <w:pPr>
              <w:pStyle w:val="BodyTextIndent"/>
              <w:ind w:firstLine="0"/>
              <w:jc w:val="center"/>
              <w:rPr>
                <w:sz w:val="18"/>
                <w:szCs w:val="18"/>
              </w:rPr>
            </w:pPr>
            <w:r w:rsidRPr="00DB67A4">
              <w:rPr>
                <w:sz w:val="18"/>
                <w:szCs w:val="18"/>
              </w:rPr>
              <w:t>0.00023</w:t>
            </w:r>
          </w:p>
        </w:tc>
      </w:tr>
      <w:tr w:rsidR="00F90934" w:rsidRPr="00DB67A4" w14:paraId="085305EA" w14:textId="77777777" w:rsidTr="007964E0">
        <w:trPr>
          <w:trHeight w:val="231"/>
        </w:trPr>
        <w:tc>
          <w:tcPr>
            <w:tcW w:w="1163" w:type="dxa"/>
            <w:tcBorders>
              <w:top w:val="nil"/>
              <w:left w:val="single" w:sz="4" w:space="0" w:color="auto"/>
              <w:bottom w:val="nil"/>
              <w:right w:val="single" w:sz="4" w:space="0" w:color="auto"/>
            </w:tcBorders>
            <w:shd w:val="clear" w:color="auto" w:fill="auto"/>
            <w:vAlign w:val="bottom"/>
          </w:tcPr>
          <w:p w14:paraId="5ECA709A" w14:textId="77777777" w:rsidR="00F90934" w:rsidRPr="00DB67A4" w:rsidRDefault="00F90934" w:rsidP="00F90934">
            <w:pPr>
              <w:pStyle w:val="BodyTextIndent"/>
              <w:ind w:firstLine="0"/>
              <w:jc w:val="left"/>
              <w:rPr>
                <w:sz w:val="18"/>
                <w:szCs w:val="18"/>
              </w:rPr>
            </w:pPr>
            <w:r w:rsidRPr="00DB67A4">
              <w:rPr>
                <w:sz w:val="18"/>
                <w:szCs w:val="18"/>
              </w:rPr>
              <w:t>U-235</w:t>
            </w:r>
          </w:p>
        </w:tc>
        <w:tc>
          <w:tcPr>
            <w:tcW w:w="1507" w:type="dxa"/>
            <w:tcBorders>
              <w:top w:val="nil"/>
              <w:left w:val="single" w:sz="4" w:space="0" w:color="auto"/>
              <w:bottom w:val="nil"/>
              <w:right w:val="single" w:sz="4" w:space="0" w:color="auto"/>
            </w:tcBorders>
          </w:tcPr>
          <w:p w14:paraId="174EA2BB" w14:textId="38235892" w:rsidR="00F90934" w:rsidRPr="00DB67A4" w:rsidRDefault="00F90934" w:rsidP="00F90934">
            <w:pPr>
              <w:pStyle w:val="BodyTextIndent"/>
              <w:ind w:firstLine="0"/>
              <w:jc w:val="center"/>
              <w:rPr>
                <w:sz w:val="18"/>
                <w:szCs w:val="18"/>
              </w:rPr>
            </w:pPr>
            <w:r w:rsidRPr="00DB67A4">
              <w:rPr>
                <w:sz w:val="18"/>
                <w:szCs w:val="18"/>
              </w:rPr>
              <w:t>0.00018</w:t>
            </w:r>
          </w:p>
        </w:tc>
        <w:tc>
          <w:tcPr>
            <w:tcW w:w="502" w:type="dxa"/>
            <w:tcBorders>
              <w:top w:val="nil"/>
              <w:left w:val="single" w:sz="4" w:space="0" w:color="auto"/>
              <w:bottom w:val="nil"/>
              <w:right w:val="single" w:sz="4" w:space="0" w:color="auto"/>
            </w:tcBorders>
          </w:tcPr>
          <w:p w14:paraId="3EC5B128"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tcPr>
          <w:p w14:paraId="412A2179" w14:textId="07234724" w:rsidR="00F90934" w:rsidRPr="00DB67A4" w:rsidRDefault="00F90934" w:rsidP="00F90934">
            <w:pPr>
              <w:pStyle w:val="BodyTextIndent"/>
              <w:ind w:firstLine="0"/>
              <w:jc w:val="center"/>
              <w:rPr>
                <w:sz w:val="18"/>
                <w:szCs w:val="18"/>
              </w:rPr>
            </w:pPr>
            <w:r w:rsidRPr="00DB67A4">
              <w:rPr>
                <w:sz w:val="18"/>
                <w:szCs w:val="18"/>
              </w:rPr>
              <w:t>0.00006</w:t>
            </w:r>
          </w:p>
        </w:tc>
      </w:tr>
      <w:tr w:rsidR="00F90934" w:rsidRPr="00DB67A4" w14:paraId="6571D67D"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74168525" w14:textId="77777777" w:rsidR="00F90934" w:rsidRPr="00DB67A4" w:rsidRDefault="00F90934" w:rsidP="00F90934">
            <w:pPr>
              <w:pStyle w:val="BodyTextIndent"/>
              <w:ind w:firstLine="0"/>
              <w:jc w:val="left"/>
              <w:rPr>
                <w:sz w:val="18"/>
                <w:szCs w:val="18"/>
              </w:rPr>
            </w:pPr>
            <w:r w:rsidRPr="00DB67A4">
              <w:rPr>
                <w:sz w:val="18"/>
                <w:szCs w:val="18"/>
              </w:rPr>
              <w:t>Si-28</w:t>
            </w:r>
          </w:p>
        </w:tc>
        <w:tc>
          <w:tcPr>
            <w:tcW w:w="1507" w:type="dxa"/>
            <w:tcBorders>
              <w:top w:val="nil"/>
              <w:left w:val="single" w:sz="4" w:space="0" w:color="auto"/>
              <w:bottom w:val="nil"/>
              <w:right w:val="single" w:sz="4" w:space="0" w:color="auto"/>
            </w:tcBorders>
          </w:tcPr>
          <w:p w14:paraId="1EFEE3EA" w14:textId="70CA22CC" w:rsidR="00F90934" w:rsidRPr="00DB67A4" w:rsidRDefault="00F90934" w:rsidP="00F90934">
            <w:pPr>
              <w:pStyle w:val="BodyTextIndent"/>
              <w:ind w:firstLine="0"/>
              <w:jc w:val="center"/>
              <w:rPr>
                <w:sz w:val="18"/>
                <w:szCs w:val="18"/>
              </w:rPr>
            </w:pPr>
            <w:r w:rsidRPr="00DB67A4">
              <w:rPr>
                <w:sz w:val="18"/>
                <w:szCs w:val="18"/>
              </w:rPr>
              <w:t>0.00054</w:t>
            </w:r>
          </w:p>
        </w:tc>
        <w:tc>
          <w:tcPr>
            <w:tcW w:w="502" w:type="dxa"/>
            <w:tcBorders>
              <w:top w:val="nil"/>
              <w:left w:val="single" w:sz="4" w:space="0" w:color="auto"/>
              <w:bottom w:val="nil"/>
              <w:right w:val="single" w:sz="4" w:space="0" w:color="auto"/>
            </w:tcBorders>
          </w:tcPr>
          <w:p w14:paraId="337A4B12"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tcPr>
          <w:p w14:paraId="759EBAD1" w14:textId="410BFD1E" w:rsidR="00F90934" w:rsidRPr="00DB67A4" w:rsidRDefault="00F90934" w:rsidP="00F90934">
            <w:pPr>
              <w:pStyle w:val="BodyTextIndent"/>
              <w:ind w:firstLine="0"/>
              <w:jc w:val="center"/>
              <w:rPr>
                <w:sz w:val="18"/>
                <w:szCs w:val="18"/>
              </w:rPr>
            </w:pPr>
            <w:r w:rsidRPr="00DB67A4">
              <w:rPr>
                <w:sz w:val="18"/>
                <w:szCs w:val="18"/>
              </w:rPr>
              <w:t>0.00017</w:t>
            </w:r>
          </w:p>
        </w:tc>
      </w:tr>
      <w:tr w:rsidR="00F90934" w:rsidRPr="00DB67A4" w14:paraId="68AFAA1A"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5B3E6F45" w14:textId="77777777" w:rsidR="00F90934" w:rsidRPr="00DB67A4" w:rsidRDefault="00F90934" w:rsidP="00F90934">
            <w:pPr>
              <w:pStyle w:val="BodyTextIndent"/>
              <w:ind w:firstLine="0"/>
              <w:jc w:val="left"/>
              <w:rPr>
                <w:sz w:val="18"/>
                <w:szCs w:val="18"/>
              </w:rPr>
            </w:pPr>
            <w:r w:rsidRPr="00DB67A4">
              <w:rPr>
                <w:sz w:val="18"/>
                <w:szCs w:val="18"/>
              </w:rPr>
              <w:t>Si-29</w:t>
            </w:r>
          </w:p>
        </w:tc>
        <w:tc>
          <w:tcPr>
            <w:tcW w:w="1507" w:type="dxa"/>
            <w:tcBorders>
              <w:top w:val="nil"/>
              <w:left w:val="single" w:sz="4" w:space="0" w:color="auto"/>
              <w:bottom w:val="nil"/>
              <w:right w:val="single" w:sz="4" w:space="0" w:color="auto"/>
            </w:tcBorders>
          </w:tcPr>
          <w:p w14:paraId="053F9F8F" w14:textId="18173A05" w:rsidR="00F90934" w:rsidRPr="00DB67A4" w:rsidRDefault="00F90934" w:rsidP="00F90934">
            <w:pPr>
              <w:pStyle w:val="BodyTextIndent"/>
              <w:ind w:firstLine="0"/>
              <w:jc w:val="center"/>
              <w:rPr>
                <w:sz w:val="18"/>
                <w:szCs w:val="18"/>
              </w:rPr>
            </w:pPr>
            <w:r w:rsidRPr="00DB67A4">
              <w:rPr>
                <w:sz w:val="18"/>
                <w:szCs w:val="18"/>
              </w:rPr>
              <w:t>0.00003</w:t>
            </w:r>
          </w:p>
        </w:tc>
        <w:tc>
          <w:tcPr>
            <w:tcW w:w="502" w:type="dxa"/>
            <w:tcBorders>
              <w:top w:val="nil"/>
              <w:left w:val="single" w:sz="4" w:space="0" w:color="auto"/>
              <w:bottom w:val="nil"/>
              <w:right w:val="single" w:sz="4" w:space="0" w:color="auto"/>
            </w:tcBorders>
          </w:tcPr>
          <w:p w14:paraId="74D8DD3B"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tcPr>
          <w:p w14:paraId="3EAC07AF" w14:textId="3342BB20" w:rsidR="00F90934" w:rsidRPr="00DB67A4" w:rsidRDefault="00F90934" w:rsidP="00F90934">
            <w:pPr>
              <w:pStyle w:val="BodyTextIndent"/>
              <w:ind w:firstLine="0"/>
              <w:jc w:val="center"/>
              <w:rPr>
                <w:sz w:val="18"/>
                <w:szCs w:val="18"/>
              </w:rPr>
            </w:pPr>
            <w:r w:rsidRPr="00DB67A4">
              <w:rPr>
                <w:sz w:val="18"/>
                <w:szCs w:val="18"/>
              </w:rPr>
              <w:t>0.00001</w:t>
            </w:r>
          </w:p>
        </w:tc>
      </w:tr>
      <w:tr w:rsidR="00F90934" w:rsidRPr="00DB67A4" w14:paraId="74A43A8A" w14:textId="77777777" w:rsidTr="007964E0">
        <w:trPr>
          <w:trHeight w:val="231"/>
        </w:trPr>
        <w:tc>
          <w:tcPr>
            <w:tcW w:w="1163" w:type="dxa"/>
            <w:tcBorders>
              <w:top w:val="nil"/>
              <w:left w:val="single" w:sz="4" w:space="0" w:color="auto"/>
              <w:bottom w:val="nil"/>
              <w:right w:val="single" w:sz="4" w:space="0" w:color="auto"/>
            </w:tcBorders>
            <w:shd w:val="clear" w:color="auto" w:fill="auto"/>
            <w:vAlign w:val="bottom"/>
          </w:tcPr>
          <w:p w14:paraId="361D8601" w14:textId="77777777" w:rsidR="00F90934" w:rsidRPr="00DB67A4" w:rsidRDefault="00F90934" w:rsidP="00F90934">
            <w:pPr>
              <w:pStyle w:val="BodyTextIndent"/>
              <w:ind w:firstLine="0"/>
              <w:jc w:val="left"/>
              <w:rPr>
                <w:sz w:val="18"/>
                <w:szCs w:val="18"/>
              </w:rPr>
            </w:pPr>
            <w:r w:rsidRPr="00DB67A4">
              <w:rPr>
                <w:sz w:val="18"/>
                <w:szCs w:val="18"/>
              </w:rPr>
              <w:t>Si-30</w:t>
            </w:r>
          </w:p>
        </w:tc>
        <w:tc>
          <w:tcPr>
            <w:tcW w:w="1507" w:type="dxa"/>
            <w:tcBorders>
              <w:top w:val="nil"/>
              <w:left w:val="single" w:sz="4" w:space="0" w:color="auto"/>
              <w:bottom w:val="nil"/>
              <w:right w:val="single" w:sz="4" w:space="0" w:color="auto"/>
            </w:tcBorders>
          </w:tcPr>
          <w:p w14:paraId="25AAB70C" w14:textId="43A58538" w:rsidR="00F90934" w:rsidRPr="00DB67A4" w:rsidRDefault="00F90934" w:rsidP="00F90934">
            <w:pPr>
              <w:pStyle w:val="BodyTextIndent"/>
              <w:ind w:firstLine="0"/>
              <w:jc w:val="center"/>
              <w:rPr>
                <w:sz w:val="18"/>
                <w:szCs w:val="18"/>
              </w:rPr>
            </w:pPr>
            <w:r w:rsidRPr="00DB67A4">
              <w:rPr>
                <w:sz w:val="18"/>
                <w:szCs w:val="18"/>
              </w:rPr>
              <w:t>0.00002</w:t>
            </w:r>
          </w:p>
        </w:tc>
        <w:tc>
          <w:tcPr>
            <w:tcW w:w="502" w:type="dxa"/>
            <w:tcBorders>
              <w:top w:val="nil"/>
              <w:left w:val="single" w:sz="4" w:space="0" w:color="auto"/>
              <w:bottom w:val="nil"/>
              <w:right w:val="single" w:sz="4" w:space="0" w:color="auto"/>
            </w:tcBorders>
          </w:tcPr>
          <w:p w14:paraId="213D034E"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tcPr>
          <w:p w14:paraId="3CB486CD" w14:textId="16823607" w:rsidR="00F90934" w:rsidRPr="00DB67A4" w:rsidRDefault="00F90934" w:rsidP="00F90934">
            <w:pPr>
              <w:pStyle w:val="BodyTextIndent"/>
              <w:ind w:firstLine="0"/>
              <w:jc w:val="center"/>
              <w:rPr>
                <w:sz w:val="18"/>
                <w:szCs w:val="18"/>
              </w:rPr>
            </w:pPr>
            <w:r w:rsidRPr="00DB67A4">
              <w:rPr>
                <w:sz w:val="18"/>
                <w:szCs w:val="18"/>
              </w:rPr>
              <w:t>0.00001</w:t>
            </w:r>
          </w:p>
        </w:tc>
      </w:tr>
      <w:tr w:rsidR="00F90934" w:rsidRPr="00DB67A4" w14:paraId="3B906F79"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5B66B8B1" w14:textId="77777777" w:rsidR="00F90934" w:rsidRPr="00DB67A4" w:rsidRDefault="00F90934" w:rsidP="00F90934">
            <w:pPr>
              <w:pStyle w:val="BodyTextIndent"/>
              <w:ind w:firstLine="0"/>
              <w:jc w:val="left"/>
              <w:rPr>
                <w:sz w:val="18"/>
                <w:szCs w:val="18"/>
              </w:rPr>
            </w:pPr>
            <w:r w:rsidRPr="00DB67A4">
              <w:rPr>
                <w:sz w:val="18"/>
                <w:szCs w:val="18"/>
              </w:rPr>
              <w:t>Al-27</w:t>
            </w:r>
          </w:p>
        </w:tc>
        <w:tc>
          <w:tcPr>
            <w:tcW w:w="1507" w:type="dxa"/>
            <w:tcBorders>
              <w:top w:val="nil"/>
              <w:left w:val="single" w:sz="4" w:space="0" w:color="auto"/>
              <w:bottom w:val="nil"/>
              <w:right w:val="single" w:sz="4" w:space="0" w:color="auto"/>
            </w:tcBorders>
          </w:tcPr>
          <w:p w14:paraId="0EC8422F" w14:textId="266795C1" w:rsidR="00F90934" w:rsidRPr="00DB67A4" w:rsidRDefault="00F90934" w:rsidP="00F90934">
            <w:pPr>
              <w:pStyle w:val="BodyTextIndent"/>
              <w:ind w:firstLine="0"/>
              <w:jc w:val="center"/>
              <w:rPr>
                <w:sz w:val="18"/>
                <w:szCs w:val="18"/>
              </w:rPr>
            </w:pPr>
            <w:r w:rsidRPr="00DB67A4">
              <w:rPr>
                <w:sz w:val="18"/>
                <w:szCs w:val="18"/>
              </w:rPr>
              <w:t>0.00420</w:t>
            </w:r>
          </w:p>
        </w:tc>
        <w:tc>
          <w:tcPr>
            <w:tcW w:w="502" w:type="dxa"/>
            <w:tcBorders>
              <w:top w:val="nil"/>
              <w:left w:val="single" w:sz="4" w:space="0" w:color="auto"/>
              <w:bottom w:val="nil"/>
              <w:right w:val="single" w:sz="4" w:space="0" w:color="auto"/>
            </w:tcBorders>
          </w:tcPr>
          <w:p w14:paraId="339FBD6C"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tcPr>
          <w:p w14:paraId="1232A27E" w14:textId="12F4287D" w:rsidR="00F90934" w:rsidRPr="00DB67A4" w:rsidRDefault="00F90934" w:rsidP="00F90934">
            <w:pPr>
              <w:pStyle w:val="BodyTextIndent"/>
              <w:ind w:firstLine="0"/>
              <w:jc w:val="center"/>
              <w:rPr>
                <w:sz w:val="18"/>
                <w:szCs w:val="18"/>
              </w:rPr>
            </w:pPr>
            <w:r w:rsidRPr="00DB67A4">
              <w:rPr>
                <w:sz w:val="18"/>
                <w:szCs w:val="18"/>
              </w:rPr>
              <w:t>0.00127</w:t>
            </w:r>
          </w:p>
        </w:tc>
      </w:tr>
      <w:tr w:rsidR="00F90934" w:rsidRPr="00DB67A4" w14:paraId="4A78BBF9" w14:textId="77777777" w:rsidTr="007964E0">
        <w:trPr>
          <w:trHeight w:val="231"/>
        </w:trPr>
        <w:tc>
          <w:tcPr>
            <w:tcW w:w="1163" w:type="dxa"/>
            <w:tcBorders>
              <w:top w:val="nil"/>
              <w:left w:val="single" w:sz="4" w:space="0" w:color="auto"/>
              <w:bottom w:val="nil"/>
              <w:right w:val="single" w:sz="4" w:space="0" w:color="auto"/>
            </w:tcBorders>
            <w:shd w:val="clear" w:color="auto" w:fill="auto"/>
            <w:vAlign w:val="bottom"/>
          </w:tcPr>
          <w:p w14:paraId="2F115B89" w14:textId="77777777" w:rsidR="00F90934" w:rsidRPr="00DB67A4" w:rsidRDefault="00F90934" w:rsidP="00F90934">
            <w:pPr>
              <w:pStyle w:val="BodyTextIndent"/>
              <w:ind w:firstLine="0"/>
              <w:jc w:val="left"/>
              <w:rPr>
                <w:sz w:val="18"/>
                <w:szCs w:val="18"/>
              </w:rPr>
            </w:pPr>
            <w:r w:rsidRPr="00DB67A4">
              <w:rPr>
                <w:sz w:val="18"/>
                <w:szCs w:val="18"/>
              </w:rPr>
              <w:t>H-1</w:t>
            </w:r>
          </w:p>
        </w:tc>
        <w:tc>
          <w:tcPr>
            <w:tcW w:w="1507" w:type="dxa"/>
            <w:tcBorders>
              <w:top w:val="nil"/>
              <w:left w:val="single" w:sz="4" w:space="0" w:color="auto"/>
              <w:bottom w:val="nil"/>
              <w:right w:val="single" w:sz="4" w:space="0" w:color="auto"/>
            </w:tcBorders>
          </w:tcPr>
          <w:p w14:paraId="47F163CC" w14:textId="7478B845" w:rsidR="00F90934" w:rsidRPr="00DB67A4" w:rsidRDefault="00F90934" w:rsidP="00F90934">
            <w:pPr>
              <w:pStyle w:val="BodyTextIndent"/>
              <w:ind w:firstLine="0"/>
              <w:jc w:val="center"/>
              <w:rPr>
                <w:sz w:val="18"/>
                <w:szCs w:val="18"/>
              </w:rPr>
            </w:pPr>
            <w:r w:rsidRPr="00DB67A4">
              <w:rPr>
                <w:sz w:val="18"/>
                <w:szCs w:val="18"/>
              </w:rPr>
              <w:t>-0.00680</w:t>
            </w:r>
          </w:p>
        </w:tc>
        <w:tc>
          <w:tcPr>
            <w:tcW w:w="502" w:type="dxa"/>
            <w:tcBorders>
              <w:top w:val="nil"/>
              <w:left w:val="single" w:sz="4" w:space="0" w:color="auto"/>
              <w:bottom w:val="nil"/>
              <w:right w:val="single" w:sz="4" w:space="0" w:color="auto"/>
            </w:tcBorders>
          </w:tcPr>
          <w:p w14:paraId="128E5876"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tcPr>
          <w:p w14:paraId="79E4680D" w14:textId="1E315139" w:rsidR="00F90934" w:rsidRPr="00DB67A4" w:rsidRDefault="00F90934" w:rsidP="00F90934">
            <w:pPr>
              <w:pStyle w:val="BodyTextIndent"/>
              <w:ind w:firstLine="0"/>
              <w:jc w:val="center"/>
              <w:rPr>
                <w:sz w:val="18"/>
                <w:szCs w:val="18"/>
              </w:rPr>
            </w:pPr>
            <w:r w:rsidRPr="00DB67A4">
              <w:rPr>
                <w:sz w:val="18"/>
                <w:szCs w:val="18"/>
              </w:rPr>
              <w:t>0.00354</w:t>
            </w:r>
          </w:p>
        </w:tc>
      </w:tr>
      <w:tr w:rsidR="00F90934" w:rsidRPr="00DB67A4" w14:paraId="2EB58E7A"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14D02609" w14:textId="77777777" w:rsidR="00F90934" w:rsidRPr="00DB67A4" w:rsidRDefault="00F90934" w:rsidP="00F90934">
            <w:pPr>
              <w:pStyle w:val="BodyTextIndent"/>
              <w:ind w:firstLine="0"/>
              <w:jc w:val="left"/>
              <w:rPr>
                <w:sz w:val="18"/>
                <w:szCs w:val="18"/>
              </w:rPr>
            </w:pPr>
            <w:r w:rsidRPr="00DB67A4">
              <w:rPr>
                <w:sz w:val="18"/>
                <w:szCs w:val="18"/>
              </w:rPr>
              <w:t>H-2</w:t>
            </w:r>
          </w:p>
        </w:tc>
        <w:tc>
          <w:tcPr>
            <w:tcW w:w="1507" w:type="dxa"/>
            <w:tcBorders>
              <w:top w:val="nil"/>
              <w:left w:val="single" w:sz="4" w:space="0" w:color="auto"/>
              <w:bottom w:val="nil"/>
              <w:right w:val="single" w:sz="4" w:space="0" w:color="auto"/>
            </w:tcBorders>
          </w:tcPr>
          <w:p w14:paraId="104FF44D" w14:textId="452A6FA8" w:rsidR="00F90934" w:rsidRPr="00DB67A4" w:rsidRDefault="00F90934" w:rsidP="00F90934">
            <w:pPr>
              <w:pStyle w:val="BodyTextIndent"/>
              <w:ind w:firstLine="0"/>
              <w:jc w:val="center"/>
              <w:rPr>
                <w:sz w:val="18"/>
                <w:szCs w:val="18"/>
              </w:rPr>
            </w:pPr>
            <w:r w:rsidRPr="00DB67A4">
              <w:rPr>
                <w:sz w:val="18"/>
                <w:szCs w:val="18"/>
              </w:rPr>
              <w:t>0.00000</w:t>
            </w:r>
          </w:p>
        </w:tc>
        <w:tc>
          <w:tcPr>
            <w:tcW w:w="502" w:type="dxa"/>
            <w:tcBorders>
              <w:top w:val="nil"/>
              <w:left w:val="single" w:sz="4" w:space="0" w:color="auto"/>
              <w:bottom w:val="nil"/>
              <w:right w:val="single" w:sz="4" w:space="0" w:color="auto"/>
            </w:tcBorders>
          </w:tcPr>
          <w:p w14:paraId="665BD6F5"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tcPr>
          <w:p w14:paraId="6C525C8D" w14:textId="256DFCC8" w:rsidR="00F90934" w:rsidRPr="00DB67A4" w:rsidRDefault="00F90934" w:rsidP="00F90934">
            <w:pPr>
              <w:pStyle w:val="BodyTextIndent"/>
              <w:ind w:firstLine="0"/>
              <w:jc w:val="center"/>
              <w:rPr>
                <w:sz w:val="18"/>
                <w:szCs w:val="18"/>
              </w:rPr>
            </w:pPr>
            <w:r w:rsidRPr="00DB67A4">
              <w:rPr>
                <w:sz w:val="18"/>
                <w:szCs w:val="18"/>
              </w:rPr>
              <w:t>0.00000</w:t>
            </w:r>
          </w:p>
        </w:tc>
      </w:tr>
      <w:tr w:rsidR="00F90934" w:rsidRPr="00DB67A4" w14:paraId="389A6EFA" w14:textId="77777777" w:rsidTr="007964E0">
        <w:trPr>
          <w:trHeight w:val="221"/>
        </w:trPr>
        <w:tc>
          <w:tcPr>
            <w:tcW w:w="1163" w:type="dxa"/>
            <w:tcBorders>
              <w:top w:val="nil"/>
              <w:left w:val="single" w:sz="4" w:space="0" w:color="auto"/>
              <w:bottom w:val="nil"/>
              <w:right w:val="single" w:sz="4" w:space="0" w:color="auto"/>
            </w:tcBorders>
            <w:shd w:val="clear" w:color="auto" w:fill="auto"/>
            <w:vAlign w:val="bottom"/>
          </w:tcPr>
          <w:p w14:paraId="06279E8A" w14:textId="77777777" w:rsidR="00F90934" w:rsidRPr="00DB67A4" w:rsidRDefault="00F90934" w:rsidP="00F90934">
            <w:pPr>
              <w:pStyle w:val="BodyTextIndent"/>
              <w:ind w:firstLine="0"/>
              <w:jc w:val="left"/>
              <w:rPr>
                <w:sz w:val="18"/>
                <w:szCs w:val="18"/>
              </w:rPr>
            </w:pPr>
            <w:r w:rsidRPr="00DB67A4">
              <w:rPr>
                <w:sz w:val="18"/>
                <w:szCs w:val="18"/>
              </w:rPr>
              <w:t>O-16</w:t>
            </w:r>
          </w:p>
        </w:tc>
        <w:tc>
          <w:tcPr>
            <w:tcW w:w="1507" w:type="dxa"/>
            <w:tcBorders>
              <w:top w:val="nil"/>
              <w:left w:val="single" w:sz="4" w:space="0" w:color="auto"/>
              <w:bottom w:val="nil"/>
              <w:right w:val="single" w:sz="4" w:space="0" w:color="auto"/>
            </w:tcBorders>
          </w:tcPr>
          <w:p w14:paraId="38F9BACC" w14:textId="1090ECE7" w:rsidR="00F90934" w:rsidRPr="00DB67A4" w:rsidRDefault="00F90934" w:rsidP="00F90934">
            <w:pPr>
              <w:pStyle w:val="BodyTextIndent"/>
              <w:ind w:firstLine="0"/>
              <w:jc w:val="center"/>
              <w:rPr>
                <w:sz w:val="18"/>
                <w:szCs w:val="18"/>
              </w:rPr>
            </w:pPr>
            <w:r w:rsidRPr="00DB67A4">
              <w:rPr>
                <w:sz w:val="18"/>
                <w:szCs w:val="18"/>
              </w:rPr>
              <w:t>-0.00340</w:t>
            </w:r>
          </w:p>
        </w:tc>
        <w:tc>
          <w:tcPr>
            <w:tcW w:w="502" w:type="dxa"/>
            <w:tcBorders>
              <w:top w:val="nil"/>
              <w:left w:val="single" w:sz="4" w:space="0" w:color="auto"/>
              <w:bottom w:val="nil"/>
              <w:right w:val="single" w:sz="4" w:space="0" w:color="auto"/>
            </w:tcBorders>
          </w:tcPr>
          <w:p w14:paraId="5F7FF375"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nil"/>
              <w:right w:val="single" w:sz="4" w:space="0" w:color="auto"/>
            </w:tcBorders>
          </w:tcPr>
          <w:p w14:paraId="4AABB70E" w14:textId="6E60C9E5" w:rsidR="00F90934" w:rsidRPr="00DB67A4" w:rsidRDefault="00F90934" w:rsidP="00F90934">
            <w:pPr>
              <w:pStyle w:val="BodyTextIndent"/>
              <w:ind w:firstLine="0"/>
              <w:jc w:val="center"/>
              <w:rPr>
                <w:sz w:val="18"/>
                <w:szCs w:val="18"/>
              </w:rPr>
            </w:pPr>
            <w:r w:rsidRPr="00DB67A4">
              <w:rPr>
                <w:sz w:val="18"/>
                <w:szCs w:val="18"/>
              </w:rPr>
              <w:t>0.00170</w:t>
            </w:r>
          </w:p>
        </w:tc>
      </w:tr>
      <w:tr w:rsidR="00F90934" w:rsidRPr="00DB67A4" w14:paraId="06C12DED" w14:textId="77777777" w:rsidTr="007964E0">
        <w:trPr>
          <w:trHeight w:val="231"/>
        </w:trPr>
        <w:tc>
          <w:tcPr>
            <w:tcW w:w="1163" w:type="dxa"/>
            <w:tcBorders>
              <w:top w:val="nil"/>
              <w:left w:val="single" w:sz="4" w:space="0" w:color="auto"/>
              <w:bottom w:val="single" w:sz="4" w:space="0" w:color="auto"/>
              <w:right w:val="single" w:sz="4" w:space="0" w:color="auto"/>
            </w:tcBorders>
            <w:shd w:val="clear" w:color="auto" w:fill="auto"/>
            <w:vAlign w:val="bottom"/>
          </w:tcPr>
          <w:p w14:paraId="17A02CF6" w14:textId="77777777" w:rsidR="00F90934" w:rsidRPr="00DB67A4" w:rsidRDefault="00F90934" w:rsidP="00F90934">
            <w:pPr>
              <w:pStyle w:val="BodyTextIndent"/>
              <w:ind w:firstLine="0"/>
              <w:jc w:val="left"/>
              <w:rPr>
                <w:sz w:val="18"/>
                <w:szCs w:val="18"/>
              </w:rPr>
            </w:pPr>
            <w:r w:rsidRPr="00DB67A4">
              <w:rPr>
                <w:sz w:val="18"/>
                <w:szCs w:val="18"/>
              </w:rPr>
              <w:t>O-17</w:t>
            </w:r>
          </w:p>
        </w:tc>
        <w:tc>
          <w:tcPr>
            <w:tcW w:w="1507" w:type="dxa"/>
            <w:tcBorders>
              <w:top w:val="nil"/>
              <w:left w:val="single" w:sz="4" w:space="0" w:color="auto"/>
              <w:bottom w:val="single" w:sz="4" w:space="0" w:color="auto"/>
              <w:right w:val="single" w:sz="4" w:space="0" w:color="auto"/>
            </w:tcBorders>
          </w:tcPr>
          <w:p w14:paraId="76E99F6C" w14:textId="156BCC76" w:rsidR="00F90934" w:rsidRPr="00DB67A4" w:rsidRDefault="00F90934" w:rsidP="00F90934">
            <w:pPr>
              <w:pStyle w:val="BodyTextIndent"/>
              <w:ind w:firstLine="0"/>
              <w:jc w:val="center"/>
              <w:rPr>
                <w:sz w:val="18"/>
                <w:szCs w:val="18"/>
              </w:rPr>
            </w:pPr>
            <w:r w:rsidRPr="00DB67A4">
              <w:rPr>
                <w:sz w:val="18"/>
                <w:szCs w:val="18"/>
              </w:rPr>
              <w:t>0.00000</w:t>
            </w:r>
          </w:p>
        </w:tc>
        <w:tc>
          <w:tcPr>
            <w:tcW w:w="502" w:type="dxa"/>
            <w:tcBorders>
              <w:top w:val="nil"/>
              <w:left w:val="single" w:sz="4" w:space="0" w:color="auto"/>
              <w:bottom w:val="single" w:sz="4" w:space="0" w:color="auto"/>
              <w:right w:val="single" w:sz="4" w:space="0" w:color="auto"/>
            </w:tcBorders>
          </w:tcPr>
          <w:p w14:paraId="7B95EC11"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single" w:sz="4" w:space="0" w:color="auto"/>
              <w:right w:val="single" w:sz="4" w:space="0" w:color="auto"/>
            </w:tcBorders>
          </w:tcPr>
          <w:p w14:paraId="418E2F81" w14:textId="1311DC58" w:rsidR="00F90934" w:rsidRPr="00DB67A4" w:rsidRDefault="00F90934" w:rsidP="00F90934">
            <w:pPr>
              <w:pStyle w:val="BodyTextIndent"/>
              <w:ind w:firstLine="0"/>
              <w:jc w:val="center"/>
              <w:rPr>
                <w:sz w:val="18"/>
                <w:szCs w:val="18"/>
              </w:rPr>
            </w:pPr>
            <w:r w:rsidRPr="00DB67A4">
              <w:rPr>
                <w:sz w:val="18"/>
                <w:szCs w:val="18"/>
              </w:rPr>
              <w:t>0.00000</w:t>
            </w:r>
          </w:p>
        </w:tc>
      </w:tr>
    </w:tbl>
    <w:p w14:paraId="678224BF" w14:textId="77777777" w:rsidR="00441079" w:rsidRDefault="00441079" w:rsidP="003B36BB">
      <w:pPr>
        <w:pStyle w:val="BodyTextIndent"/>
        <w:ind w:firstLine="0"/>
        <w:jc w:val="left"/>
        <w:rPr>
          <w:i/>
          <w:iCs/>
        </w:rPr>
      </w:pPr>
    </w:p>
    <w:p w14:paraId="74AF328B" w14:textId="77777777" w:rsidR="00441079" w:rsidRPr="00DB67A4" w:rsidRDefault="00441079" w:rsidP="00F90934">
      <w:pPr>
        <w:pStyle w:val="BodyTextIndent"/>
        <w:jc w:val="left"/>
        <w:rPr>
          <w:i/>
          <w:iCs/>
        </w:rPr>
      </w:pPr>
    </w:p>
    <w:p w14:paraId="116E3A83" w14:textId="5B07F3CE" w:rsidR="00F90934" w:rsidRPr="00DB67A4" w:rsidRDefault="00F90934" w:rsidP="00DB67A4">
      <w:pPr>
        <w:pStyle w:val="BodyTextIndent"/>
        <w:jc w:val="left"/>
        <w:rPr>
          <w:bCs/>
          <w:sz w:val="22"/>
          <w:szCs w:val="22"/>
        </w:rPr>
      </w:pPr>
      <w:r w:rsidRPr="00DB67A4">
        <w:rPr>
          <w:i/>
          <w:iCs/>
        </w:rPr>
        <w:t xml:space="preserve">Table </w:t>
      </w:r>
      <w:r w:rsidR="00DB67A4" w:rsidRPr="00DB67A4">
        <w:rPr>
          <w:i/>
          <w:iCs/>
        </w:rPr>
        <w:t>III</w:t>
      </w:r>
      <w:r w:rsidRPr="00DB67A4">
        <w:rPr>
          <w:i/>
          <w:iCs/>
        </w:rPr>
        <w:t>.4 Volume Statistics Calculation for Curved Fuel Element</w:t>
      </w:r>
    </w:p>
    <w:tbl>
      <w:tblPr>
        <w:tblW w:w="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507"/>
        <w:gridCol w:w="502"/>
        <w:gridCol w:w="1512"/>
      </w:tblGrid>
      <w:tr w:rsidR="00F90934" w:rsidRPr="00DB67A4" w14:paraId="03FC14FB" w14:textId="77777777" w:rsidTr="007964E0">
        <w:trPr>
          <w:trHeight w:val="221"/>
        </w:trPr>
        <w:tc>
          <w:tcPr>
            <w:tcW w:w="1163" w:type="dxa"/>
            <w:vMerge w:val="restart"/>
            <w:tcBorders>
              <w:top w:val="single" w:sz="4" w:space="0" w:color="auto"/>
              <w:left w:val="single" w:sz="4" w:space="0" w:color="auto"/>
              <w:bottom w:val="single" w:sz="4" w:space="0" w:color="auto"/>
              <w:right w:val="single" w:sz="4" w:space="0" w:color="auto"/>
            </w:tcBorders>
            <w:vAlign w:val="center"/>
          </w:tcPr>
          <w:p w14:paraId="46BC4FFD" w14:textId="5874A755" w:rsidR="00F90934" w:rsidRPr="00DB67A4" w:rsidRDefault="00F90934" w:rsidP="007D4C41">
            <w:pPr>
              <w:pStyle w:val="BodyTextIndent"/>
              <w:ind w:firstLine="0"/>
              <w:jc w:val="left"/>
              <w:rPr>
                <w:sz w:val="18"/>
                <w:szCs w:val="18"/>
              </w:rPr>
            </w:pPr>
            <w:r w:rsidRPr="00DB67A4">
              <w:rPr>
                <w:sz w:val="18"/>
                <w:szCs w:val="18"/>
              </w:rPr>
              <w:t>Material</w:t>
            </w:r>
          </w:p>
        </w:tc>
        <w:tc>
          <w:tcPr>
            <w:tcW w:w="3521" w:type="dxa"/>
            <w:gridSpan w:val="3"/>
            <w:tcBorders>
              <w:top w:val="single" w:sz="4" w:space="0" w:color="auto"/>
              <w:left w:val="single" w:sz="4" w:space="0" w:color="auto"/>
              <w:bottom w:val="single" w:sz="4" w:space="0" w:color="auto"/>
              <w:right w:val="single" w:sz="4" w:space="0" w:color="auto"/>
            </w:tcBorders>
            <w:vAlign w:val="center"/>
          </w:tcPr>
          <w:p w14:paraId="41556478" w14:textId="45F9CF9C" w:rsidR="00F90934" w:rsidRPr="00DB67A4" w:rsidRDefault="00F90934" w:rsidP="007D4C41">
            <w:pPr>
              <w:pStyle w:val="BodyTextIndent"/>
              <w:ind w:firstLine="0"/>
              <w:jc w:val="center"/>
              <w:rPr>
                <w:sz w:val="18"/>
                <w:szCs w:val="18"/>
              </w:rPr>
            </w:pPr>
            <w:r w:rsidRPr="00DB67A4">
              <w:rPr>
                <w:sz w:val="18"/>
                <w:szCs w:val="18"/>
              </w:rPr>
              <w:t>Curved</w:t>
            </w:r>
          </w:p>
        </w:tc>
      </w:tr>
      <w:tr w:rsidR="007964E0" w:rsidRPr="00DB67A4" w14:paraId="5FA07B4E" w14:textId="77777777" w:rsidTr="007964E0">
        <w:trPr>
          <w:trHeight w:val="231"/>
        </w:trPr>
        <w:tc>
          <w:tcPr>
            <w:tcW w:w="1163" w:type="dxa"/>
            <w:vMerge/>
            <w:tcBorders>
              <w:top w:val="single" w:sz="4" w:space="0" w:color="auto"/>
              <w:left w:val="single" w:sz="4" w:space="0" w:color="auto"/>
              <w:bottom w:val="single" w:sz="4" w:space="0" w:color="auto"/>
              <w:right w:val="single" w:sz="4" w:space="0" w:color="auto"/>
            </w:tcBorders>
            <w:vAlign w:val="center"/>
          </w:tcPr>
          <w:p w14:paraId="78BD9C4D" w14:textId="77777777" w:rsidR="007964E0" w:rsidRPr="00DB67A4" w:rsidRDefault="007964E0" w:rsidP="007D4C41">
            <w:pPr>
              <w:pStyle w:val="BodyTextIndent"/>
              <w:ind w:firstLine="0"/>
              <w:jc w:val="left"/>
              <w:rPr>
                <w:sz w:val="18"/>
                <w:szCs w:val="18"/>
              </w:rPr>
            </w:pPr>
          </w:p>
        </w:tc>
        <w:tc>
          <w:tcPr>
            <w:tcW w:w="1507" w:type="dxa"/>
            <w:tcBorders>
              <w:top w:val="single" w:sz="4" w:space="0" w:color="auto"/>
              <w:left w:val="single" w:sz="4" w:space="0" w:color="auto"/>
              <w:bottom w:val="nil"/>
              <w:right w:val="single" w:sz="4" w:space="0" w:color="auto"/>
            </w:tcBorders>
            <w:vAlign w:val="center"/>
          </w:tcPr>
          <w:p w14:paraId="1D221BE1" w14:textId="0D059507" w:rsidR="007964E0" w:rsidRPr="00DB67A4" w:rsidRDefault="007964E0" w:rsidP="00F90934">
            <w:pPr>
              <w:pStyle w:val="BodyTextIndent"/>
              <w:ind w:firstLine="0"/>
              <w:jc w:val="left"/>
              <w:rPr>
                <w:sz w:val="18"/>
                <w:szCs w:val="18"/>
              </w:rPr>
            </w:pPr>
            <m:oMathPara>
              <m:oMath>
                <m:r>
                  <w:rPr>
                    <w:rFonts w:ascii="Cambria Math" w:hAnsi="Cambria Math"/>
                    <w:sz w:val="18"/>
                    <w:szCs w:val="18"/>
                  </w:rPr>
                  <m:t>Volume</m:t>
                </m:r>
              </m:oMath>
            </m:oMathPara>
          </w:p>
        </w:tc>
        <w:tc>
          <w:tcPr>
            <w:tcW w:w="502" w:type="dxa"/>
            <w:vMerge w:val="restart"/>
            <w:tcBorders>
              <w:top w:val="single" w:sz="4" w:space="0" w:color="auto"/>
              <w:left w:val="single" w:sz="4" w:space="0" w:color="auto"/>
              <w:right w:val="single" w:sz="4" w:space="0" w:color="auto"/>
            </w:tcBorders>
            <w:vAlign w:val="center"/>
          </w:tcPr>
          <w:p w14:paraId="40943B6A" w14:textId="77777777" w:rsidR="007964E0" w:rsidRPr="00DB67A4" w:rsidRDefault="007964E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vAlign w:val="center"/>
          </w:tcPr>
          <w:p w14:paraId="11B81F96" w14:textId="77777777" w:rsidR="007964E0" w:rsidRPr="00DB67A4" w:rsidRDefault="007964E0" w:rsidP="007D4C41">
            <w:pPr>
              <w:pStyle w:val="BodyTextIndent"/>
              <w:ind w:firstLine="0"/>
              <w:jc w:val="center"/>
              <w:rPr>
                <w:sz w:val="18"/>
                <w:szCs w:val="18"/>
              </w:rPr>
            </w:pPr>
            <m:oMathPara>
              <m:oMath>
                <m:r>
                  <m:rPr>
                    <m:sty m:val="bi"/>
                  </m:rPr>
                  <w:rPr>
                    <w:rFonts w:ascii="Cambria Math" w:hAnsi="Cambria Math"/>
                    <w:sz w:val="18"/>
                    <w:szCs w:val="18"/>
                  </w:rPr>
                  <m:t>σ</m:t>
                </m:r>
              </m:oMath>
            </m:oMathPara>
          </w:p>
        </w:tc>
      </w:tr>
      <w:tr w:rsidR="007964E0" w:rsidRPr="00DB67A4" w14:paraId="7F907B6D" w14:textId="77777777" w:rsidTr="007964E0">
        <w:trPr>
          <w:trHeight w:val="461"/>
        </w:trPr>
        <w:tc>
          <w:tcPr>
            <w:tcW w:w="1163" w:type="dxa"/>
            <w:vMerge/>
            <w:tcBorders>
              <w:top w:val="single" w:sz="4" w:space="0" w:color="auto"/>
              <w:left w:val="single" w:sz="4" w:space="0" w:color="auto"/>
              <w:bottom w:val="single" w:sz="4" w:space="0" w:color="auto"/>
              <w:right w:val="single" w:sz="4" w:space="0" w:color="auto"/>
            </w:tcBorders>
          </w:tcPr>
          <w:p w14:paraId="2AA759EC" w14:textId="77777777" w:rsidR="007964E0" w:rsidRPr="00DB67A4" w:rsidRDefault="007964E0" w:rsidP="007D4C41">
            <w:pPr>
              <w:pStyle w:val="BodyTextIndent"/>
              <w:ind w:firstLine="0"/>
              <w:jc w:val="left"/>
              <w:rPr>
                <w:sz w:val="18"/>
                <w:szCs w:val="18"/>
              </w:rPr>
            </w:pPr>
          </w:p>
        </w:tc>
        <w:tc>
          <w:tcPr>
            <w:tcW w:w="1507" w:type="dxa"/>
            <w:tcBorders>
              <w:top w:val="nil"/>
              <w:left w:val="single" w:sz="4" w:space="0" w:color="auto"/>
              <w:bottom w:val="single" w:sz="4" w:space="0" w:color="auto"/>
              <w:right w:val="single" w:sz="4" w:space="0" w:color="auto"/>
            </w:tcBorders>
            <w:vAlign w:val="center"/>
          </w:tcPr>
          <w:p w14:paraId="71316C80" w14:textId="287535E1" w:rsidR="007964E0" w:rsidRPr="00DB67A4" w:rsidRDefault="00057C1D" w:rsidP="00F90934">
            <w:pPr>
              <w:pStyle w:val="BodyTextIndent"/>
              <w:ind w:firstLine="0"/>
              <w:jc w:val="left"/>
              <w:rPr>
                <w:sz w:val="18"/>
                <w:szCs w:val="18"/>
              </w:rPr>
            </w:pPr>
            <m:oMathPara>
              <m:oMath>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oMath>
            </m:oMathPara>
          </w:p>
        </w:tc>
        <w:tc>
          <w:tcPr>
            <w:tcW w:w="502" w:type="dxa"/>
            <w:vMerge/>
            <w:tcBorders>
              <w:left w:val="single" w:sz="4" w:space="0" w:color="auto"/>
              <w:bottom w:val="single" w:sz="4" w:space="0" w:color="auto"/>
              <w:right w:val="single" w:sz="4" w:space="0" w:color="auto"/>
            </w:tcBorders>
            <w:vAlign w:val="center"/>
          </w:tcPr>
          <w:p w14:paraId="101C6C6E" w14:textId="77777777" w:rsidR="007964E0" w:rsidRPr="00DB67A4" w:rsidRDefault="007964E0" w:rsidP="007D4C41">
            <w:pPr>
              <w:pStyle w:val="BodyTextIndent"/>
              <w:ind w:firstLine="0"/>
              <w:jc w:val="center"/>
              <w:rPr>
                <w:sz w:val="18"/>
                <w:szCs w:val="18"/>
              </w:rPr>
            </w:pPr>
          </w:p>
        </w:tc>
        <w:tc>
          <w:tcPr>
            <w:tcW w:w="1512" w:type="dxa"/>
            <w:tcBorders>
              <w:top w:val="nil"/>
              <w:left w:val="single" w:sz="4" w:space="0" w:color="auto"/>
              <w:bottom w:val="single" w:sz="4" w:space="0" w:color="auto"/>
              <w:right w:val="single" w:sz="4" w:space="0" w:color="auto"/>
            </w:tcBorders>
            <w:vAlign w:val="center"/>
          </w:tcPr>
          <w:p w14:paraId="2D786A3D" w14:textId="679F1F58" w:rsidR="007964E0" w:rsidRPr="00DB67A4" w:rsidRDefault="00057C1D" w:rsidP="007D4C41">
            <w:pPr>
              <w:pStyle w:val="BodyTextIndent"/>
              <w:ind w:firstLine="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oMath>
            </m:oMathPara>
          </w:p>
        </w:tc>
      </w:tr>
      <w:tr w:rsidR="00F90934" w:rsidRPr="00DB67A4" w14:paraId="5710D3FD" w14:textId="77777777" w:rsidTr="007964E0">
        <w:trPr>
          <w:trHeight w:val="221"/>
        </w:trPr>
        <w:tc>
          <w:tcPr>
            <w:tcW w:w="1163" w:type="dxa"/>
            <w:tcBorders>
              <w:top w:val="single" w:sz="4" w:space="0" w:color="auto"/>
              <w:left w:val="single" w:sz="4" w:space="0" w:color="auto"/>
              <w:bottom w:val="nil"/>
              <w:right w:val="single" w:sz="4" w:space="0" w:color="auto"/>
            </w:tcBorders>
            <w:shd w:val="clear" w:color="auto" w:fill="auto"/>
            <w:vAlign w:val="bottom"/>
          </w:tcPr>
          <w:p w14:paraId="64DBF98F" w14:textId="04DEC83C" w:rsidR="00F90934" w:rsidRPr="00DB67A4" w:rsidRDefault="00F90934" w:rsidP="00F90934">
            <w:pPr>
              <w:pStyle w:val="BodyTextIndent"/>
              <w:ind w:firstLine="0"/>
              <w:jc w:val="left"/>
              <w:rPr>
                <w:sz w:val="18"/>
                <w:szCs w:val="18"/>
              </w:rPr>
            </w:pPr>
            <w:r w:rsidRPr="00DB67A4">
              <w:rPr>
                <w:sz w:val="18"/>
                <w:szCs w:val="18"/>
              </w:rPr>
              <w:t>Fuel</w:t>
            </w:r>
          </w:p>
        </w:tc>
        <w:tc>
          <w:tcPr>
            <w:tcW w:w="1507" w:type="dxa"/>
            <w:tcBorders>
              <w:top w:val="single" w:sz="4" w:space="0" w:color="auto"/>
              <w:left w:val="single" w:sz="4" w:space="0" w:color="auto"/>
              <w:bottom w:val="nil"/>
              <w:right w:val="single" w:sz="4" w:space="0" w:color="auto"/>
            </w:tcBorders>
          </w:tcPr>
          <w:p w14:paraId="6601D19E" w14:textId="2171328C" w:rsidR="00F90934" w:rsidRPr="00DB67A4" w:rsidRDefault="00F90934" w:rsidP="00F90934">
            <w:pPr>
              <w:pStyle w:val="BodyTextIndent"/>
              <w:ind w:firstLine="0"/>
              <w:jc w:val="center"/>
              <w:rPr>
                <w:sz w:val="18"/>
                <w:szCs w:val="18"/>
              </w:rPr>
            </w:pPr>
            <w:r w:rsidRPr="00DB67A4">
              <w:t>0.39740</w:t>
            </w:r>
          </w:p>
        </w:tc>
        <w:tc>
          <w:tcPr>
            <w:tcW w:w="502" w:type="dxa"/>
            <w:tcBorders>
              <w:top w:val="single" w:sz="4" w:space="0" w:color="auto"/>
              <w:left w:val="single" w:sz="4" w:space="0" w:color="auto"/>
              <w:bottom w:val="nil"/>
              <w:right w:val="single" w:sz="4" w:space="0" w:color="auto"/>
            </w:tcBorders>
          </w:tcPr>
          <w:p w14:paraId="6ED37F19"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tcPr>
          <w:p w14:paraId="42BFE714" w14:textId="3E17E276" w:rsidR="00F90934" w:rsidRPr="00DB67A4" w:rsidRDefault="00F90934" w:rsidP="00F90934">
            <w:pPr>
              <w:pStyle w:val="BodyTextIndent"/>
              <w:ind w:firstLine="0"/>
              <w:jc w:val="center"/>
              <w:rPr>
                <w:sz w:val="18"/>
                <w:szCs w:val="18"/>
              </w:rPr>
            </w:pPr>
            <w:r w:rsidRPr="00DB67A4">
              <w:t>0.00002</w:t>
            </w:r>
          </w:p>
        </w:tc>
      </w:tr>
      <w:tr w:rsidR="00F90934" w:rsidRPr="00DB67A4" w14:paraId="61EEBE2A" w14:textId="77777777" w:rsidTr="007964E0">
        <w:trPr>
          <w:trHeight w:val="231"/>
        </w:trPr>
        <w:tc>
          <w:tcPr>
            <w:tcW w:w="1163" w:type="dxa"/>
            <w:tcBorders>
              <w:top w:val="nil"/>
              <w:left w:val="single" w:sz="4" w:space="0" w:color="auto"/>
              <w:bottom w:val="single" w:sz="4" w:space="0" w:color="auto"/>
              <w:right w:val="single" w:sz="4" w:space="0" w:color="auto"/>
            </w:tcBorders>
            <w:shd w:val="clear" w:color="auto" w:fill="auto"/>
            <w:vAlign w:val="bottom"/>
          </w:tcPr>
          <w:p w14:paraId="3BA17610" w14:textId="7969ED75" w:rsidR="00F90934" w:rsidRPr="00DB67A4" w:rsidRDefault="00F90934" w:rsidP="00F90934">
            <w:pPr>
              <w:pStyle w:val="BodyTextIndent"/>
              <w:ind w:firstLine="0"/>
              <w:jc w:val="left"/>
              <w:rPr>
                <w:sz w:val="18"/>
                <w:szCs w:val="18"/>
              </w:rPr>
            </w:pPr>
            <w:r w:rsidRPr="00DB67A4">
              <w:rPr>
                <w:sz w:val="18"/>
                <w:szCs w:val="18"/>
              </w:rPr>
              <w:t>Water</w:t>
            </w:r>
          </w:p>
        </w:tc>
        <w:tc>
          <w:tcPr>
            <w:tcW w:w="1507" w:type="dxa"/>
            <w:tcBorders>
              <w:top w:val="nil"/>
              <w:left w:val="single" w:sz="4" w:space="0" w:color="auto"/>
              <w:bottom w:val="single" w:sz="4" w:space="0" w:color="auto"/>
              <w:right w:val="single" w:sz="4" w:space="0" w:color="auto"/>
            </w:tcBorders>
          </w:tcPr>
          <w:p w14:paraId="3C3B25E5" w14:textId="1813CB7F" w:rsidR="00F90934" w:rsidRPr="00DB67A4" w:rsidRDefault="00F90934" w:rsidP="00F90934">
            <w:pPr>
              <w:pStyle w:val="BodyTextIndent"/>
              <w:ind w:firstLine="0"/>
              <w:jc w:val="center"/>
              <w:rPr>
                <w:sz w:val="18"/>
                <w:szCs w:val="18"/>
              </w:rPr>
            </w:pPr>
            <w:r w:rsidRPr="00DB67A4">
              <w:t>1.12090</w:t>
            </w:r>
          </w:p>
        </w:tc>
        <w:tc>
          <w:tcPr>
            <w:tcW w:w="502" w:type="dxa"/>
            <w:tcBorders>
              <w:top w:val="nil"/>
              <w:left w:val="single" w:sz="4" w:space="0" w:color="auto"/>
              <w:bottom w:val="single" w:sz="4" w:space="0" w:color="auto"/>
              <w:right w:val="single" w:sz="4" w:space="0" w:color="auto"/>
            </w:tcBorders>
          </w:tcPr>
          <w:p w14:paraId="4429931D"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single" w:sz="4" w:space="0" w:color="auto"/>
              <w:right w:val="single" w:sz="4" w:space="0" w:color="auto"/>
            </w:tcBorders>
          </w:tcPr>
          <w:p w14:paraId="09FD9FF9" w14:textId="0D09DBA0" w:rsidR="00F90934" w:rsidRPr="00DB67A4" w:rsidRDefault="00F90934" w:rsidP="00F90934">
            <w:pPr>
              <w:pStyle w:val="BodyTextIndent"/>
              <w:ind w:firstLine="0"/>
              <w:jc w:val="center"/>
              <w:rPr>
                <w:sz w:val="18"/>
                <w:szCs w:val="18"/>
              </w:rPr>
            </w:pPr>
            <w:r w:rsidRPr="00DB67A4">
              <w:t>0.00004</w:t>
            </w:r>
          </w:p>
        </w:tc>
      </w:tr>
    </w:tbl>
    <w:p w14:paraId="5FC972D1" w14:textId="77777777" w:rsidR="00F90934" w:rsidRPr="00DB67A4" w:rsidRDefault="00F90934" w:rsidP="00F90934">
      <w:pPr>
        <w:pStyle w:val="BodyTextIndent"/>
        <w:jc w:val="left"/>
        <w:rPr>
          <w:i/>
          <w:iCs/>
        </w:rPr>
      </w:pPr>
    </w:p>
    <w:p w14:paraId="2B347B1B" w14:textId="1E2B086F" w:rsidR="00F90934" w:rsidRPr="00DB67A4" w:rsidRDefault="00F90934" w:rsidP="00DB67A4">
      <w:pPr>
        <w:pStyle w:val="BodyTextIndent"/>
        <w:jc w:val="left"/>
        <w:rPr>
          <w:bCs/>
          <w:sz w:val="22"/>
          <w:szCs w:val="22"/>
        </w:rPr>
      </w:pPr>
      <w:r w:rsidRPr="00DB67A4">
        <w:rPr>
          <w:i/>
          <w:iCs/>
        </w:rPr>
        <w:t xml:space="preserve">Table </w:t>
      </w:r>
      <w:r w:rsidR="00DB67A4" w:rsidRPr="00DB67A4">
        <w:rPr>
          <w:i/>
          <w:iCs/>
        </w:rPr>
        <w:t>III</w:t>
      </w:r>
      <w:r w:rsidRPr="00DB67A4">
        <w:rPr>
          <w:i/>
          <w:iCs/>
        </w:rPr>
        <w:t>.5 Volume Statistics Calculation for Flat Fuel Element</w:t>
      </w:r>
    </w:p>
    <w:tbl>
      <w:tblPr>
        <w:tblW w:w="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507"/>
        <w:gridCol w:w="502"/>
        <w:gridCol w:w="1512"/>
      </w:tblGrid>
      <w:tr w:rsidR="00F90934" w:rsidRPr="00DB67A4" w14:paraId="45A48084" w14:textId="77777777" w:rsidTr="007964E0">
        <w:trPr>
          <w:trHeight w:val="221"/>
        </w:trPr>
        <w:tc>
          <w:tcPr>
            <w:tcW w:w="1163" w:type="dxa"/>
            <w:vMerge w:val="restart"/>
            <w:tcBorders>
              <w:top w:val="single" w:sz="4" w:space="0" w:color="auto"/>
              <w:left w:val="single" w:sz="4" w:space="0" w:color="auto"/>
              <w:bottom w:val="single" w:sz="4" w:space="0" w:color="auto"/>
              <w:right w:val="single" w:sz="4" w:space="0" w:color="auto"/>
            </w:tcBorders>
            <w:vAlign w:val="center"/>
          </w:tcPr>
          <w:p w14:paraId="42D45139" w14:textId="77777777" w:rsidR="00F90934" w:rsidRPr="00DB67A4" w:rsidRDefault="00F90934" w:rsidP="007D4C41">
            <w:pPr>
              <w:pStyle w:val="BodyTextIndent"/>
              <w:ind w:firstLine="0"/>
              <w:jc w:val="left"/>
              <w:rPr>
                <w:sz w:val="18"/>
                <w:szCs w:val="18"/>
              </w:rPr>
            </w:pPr>
            <w:r w:rsidRPr="00DB67A4">
              <w:rPr>
                <w:sz w:val="18"/>
                <w:szCs w:val="18"/>
              </w:rPr>
              <w:t>Material</w:t>
            </w:r>
          </w:p>
        </w:tc>
        <w:tc>
          <w:tcPr>
            <w:tcW w:w="3521" w:type="dxa"/>
            <w:gridSpan w:val="3"/>
            <w:tcBorders>
              <w:top w:val="single" w:sz="4" w:space="0" w:color="auto"/>
              <w:left w:val="single" w:sz="4" w:space="0" w:color="auto"/>
              <w:bottom w:val="single" w:sz="4" w:space="0" w:color="auto"/>
              <w:right w:val="single" w:sz="4" w:space="0" w:color="auto"/>
            </w:tcBorders>
            <w:vAlign w:val="center"/>
          </w:tcPr>
          <w:p w14:paraId="663CCD7F" w14:textId="78E3557C" w:rsidR="00F90934" w:rsidRPr="00DB67A4" w:rsidRDefault="00F90934" w:rsidP="007D4C41">
            <w:pPr>
              <w:pStyle w:val="BodyTextIndent"/>
              <w:ind w:firstLine="0"/>
              <w:jc w:val="center"/>
              <w:rPr>
                <w:sz w:val="18"/>
                <w:szCs w:val="18"/>
              </w:rPr>
            </w:pPr>
            <w:r w:rsidRPr="00DB67A4">
              <w:rPr>
                <w:sz w:val="18"/>
                <w:szCs w:val="18"/>
              </w:rPr>
              <w:t>Flat</w:t>
            </w:r>
          </w:p>
        </w:tc>
      </w:tr>
      <w:tr w:rsidR="007964E0" w:rsidRPr="00DB67A4" w14:paraId="09639673" w14:textId="77777777" w:rsidTr="007964E0">
        <w:trPr>
          <w:trHeight w:val="231"/>
        </w:trPr>
        <w:tc>
          <w:tcPr>
            <w:tcW w:w="1163" w:type="dxa"/>
            <w:vMerge/>
            <w:tcBorders>
              <w:top w:val="single" w:sz="4" w:space="0" w:color="auto"/>
              <w:left w:val="single" w:sz="4" w:space="0" w:color="auto"/>
              <w:bottom w:val="single" w:sz="4" w:space="0" w:color="auto"/>
              <w:right w:val="single" w:sz="4" w:space="0" w:color="auto"/>
            </w:tcBorders>
            <w:vAlign w:val="center"/>
          </w:tcPr>
          <w:p w14:paraId="52E319B3" w14:textId="77777777" w:rsidR="007964E0" w:rsidRPr="00DB67A4" w:rsidRDefault="007964E0" w:rsidP="007D4C41">
            <w:pPr>
              <w:pStyle w:val="BodyTextIndent"/>
              <w:ind w:firstLine="0"/>
              <w:jc w:val="left"/>
              <w:rPr>
                <w:sz w:val="18"/>
                <w:szCs w:val="18"/>
              </w:rPr>
            </w:pPr>
          </w:p>
        </w:tc>
        <w:tc>
          <w:tcPr>
            <w:tcW w:w="1507" w:type="dxa"/>
            <w:tcBorders>
              <w:top w:val="single" w:sz="4" w:space="0" w:color="auto"/>
              <w:left w:val="single" w:sz="4" w:space="0" w:color="auto"/>
              <w:bottom w:val="nil"/>
              <w:right w:val="single" w:sz="4" w:space="0" w:color="auto"/>
            </w:tcBorders>
            <w:vAlign w:val="center"/>
          </w:tcPr>
          <w:p w14:paraId="6D5DC862" w14:textId="77777777" w:rsidR="007964E0" w:rsidRPr="00DB67A4" w:rsidRDefault="007964E0" w:rsidP="007D4C41">
            <w:pPr>
              <w:pStyle w:val="BodyTextIndent"/>
              <w:ind w:firstLine="0"/>
              <w:jc w:val="left"/>
              <w:rPr>
                <w:sz w:val="18"/>
                <w:szCs w:val="18"/>
              </w:rPr>
            </w:pPr>
            <m:oMathPara>
              <m:oMath>
                <m:r>
                  <w:rPr>
                    <w:rFonts w:ascii="Cambria Math" w:hAnsi="Cambria Math"/>
                    <w:sz w:val="18"/>
                    <w:szCs w:val="18"/>
                  </w:rPr>
                  <m:t>Volume</m:t>
                </m:r>
              </m:oMath>
            </m:oMathPara>
          </w:p>
        </w:tc>
        <w:tc>
          <w:tcPr>
            <w:tcW w:w="502" w:type="dxa"/>
            <w:vMerge w:val="restart"/>
            <w:tcBorders>
              <w:top w:val="single" w:sz="4" w:space="0" w:color="auto"/>
              <w:left w:val="single" w:sz="4" w:space="0" w:color="auto"/>
              <w:right w:val="single" w:sz="4" w:space="0" w:color="auto"/>
            </w:tcBorders>
            <w:vAlign w:val="center"/>
          </w:tcPr>
          <w:p w14:paraId="41DD4812" w14:textId="77777777" w:rsidR="007964E0" w:rsidRPr="00DB67A4" w:rsidRDefault="007964E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vAlign w:val="center"/>
          </w:tcPr>
          <w:p w14:paraId="6122A6BD" w14:textId="77777777" w:rsidR="007964E0" w:rsidRPr="00DB67A4" w:rsidRDefault="007964E0" w:rsidP="007D4C41">
            <w:pPr>
              <w:pStyle w:val="BodyTextIndent"/>
              <w:ind w:firstLine="0"/>
              <w:jc w:val="center"/>
              <w:rPr>
                <w:sz w:val="18"/>
                <w:szCs w:val="18"/>
              </w:rPr>
            </w:pPr>
            <m:oMathPara>
              <m:oMath>
                <m:r>
                  <m:rPr>
                    <m:sty m:val="bi"/>
                  </m:rPr>
                  <w:rPr>
                    <w:rFonts w:ascii="Cambria Math" w:hAnsi="Cambria Math"/>
                    <w:sz w:val="18"/>
                    <w:szCs w:val="18"/>
                  </w:rPr>
                  <m:t>σ</m:t>
                </m:r>
              </m:oMath>
            </m:oMathPara>
          </w:p>
        </w:tc>
      </w:tr>
      <w:tr w:rsidR="007964E0" w:rsidRPr="00DB67A4" w14:paraId="5C69D99C" w14:textId="77777777" w:rsidTr="007964E0">
        <w:trPr>
          <w:trHeight w:val="461"/>
        </w:trPr>
        <w:tc>
          <w:tcPr>
            <w:tcW w:w="1163" w:type="dxa"/>
            <w:vMerge/>
            <w:tcBorders>
              <w:top w:val="single" w:sz="4" w:space="0" w:color="auto"/>
              <w:left w:val="single" w:sz="4" w:space="0" w:color="auto"/>
              <w:bottom w:val="single" w:sz="4" w:space="0" w:color="auto"/>
              <w:right w:val="single" w:sz="4" w:space="0" w:color="auto"/>
            </w:tcBorders>
          </w:tcPr>
          <w:p w14:paraId="4C8F81EF" w14:textId="77777777" w:rsidR="007964E0" w:rsidRPr="00DB67A4" w:rsidRDefault="007964E0" w:rsidP="007D4C41">
            <w:pPr>
              <w:pStyle w:val="BodyTextIndent"/>
              <w:ind w:firstLine="0"/>
              <w:jc w:val="left"/>
              <w:rPr>
                <w:sz w:val="18"/>
                <w:szCs w:val="18"/>
              </w:rPr>
            </w:pPr>
          </w:p>
        </w:tc>
        <w:tc>
          <w:tcPr>
            <w:tcW w:w="1507" w:type="dxa"/>
            <w:tcBorders>
              <w:top w:val="nil"/>
              <w:left w:val="single" w:sz="4" w:space="0" w:color="auto"/>
              <w:bottom w:val="single" w:sz="4" w:space="0" w:color="auto"/>
              <w:right w:val="single" w:sz="4" w:space="0" w:color="auto"/>
            </w:tcBorders>
            <w:vAlign w:val="center"/>
          </w:tcPr>
          <w:p w14:paraId="38788498" w14:textId="77777777" w:rsidR="007964E0" w:rsidRPr="00DB67A4" w:rsidRDefault="00057C1D" w:rsidP="007D4C41">
            <w:pPr>
              <w:pStyle w:val="BodyTextIndent"/>
              <w:ind w:firstLine="0"/>
              <w:jc w:val="left"/>
              <w:rPr>
                <w:sz w:val="18"/>
                <w:szCs w:val="18"/>
              </w:rPr>
            </w:pPr>
            <m:oMathPara>
              <m:oMath>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oMath>
            </m:oMathPara>
          </w:p>
        </w:tc>
        <w:tc>
          <w:tcPr>
            <w:tcW w:w="502" w:type="dxa"/>
            <w:vMerge/>
            <w:tcBorders>
              <w:left w:val="single" w:sz="4" w:space="0" w:color="auto"/>
              <w:bottom w:val="single" w:sz="4" w:space="0" w:color="auto"/>
              <w:right w:val="single" w:sz="4" w:space="0" w:color="auto"/>
            </w:tcBorders>
            <w:vAlign w:val="center"/>
          </w:tcPr>
          <w:p w14:paraId="02837BBC" w14:textId="77777777" w:rsidR="007964E0" w:rsidRPr="00DB67A4" w:rsidRDefault="007964E0" w:rsidP="007D4C41">
            <w:pPr>
              <w:pStyle w:val="BodyTextIndent"/>
              <w:ind w:firstLine="0"/>
              <w:jc w:val="center"/>
              <w:rPr>
                <w:sz w:val="18"/>
                <w:szCs w:val="18"/>
              </w:rPr>
            </w:pPr>
          </w:p>
        </w:tc>
        <w:tc>
          <w:tcPr>
            <w:tcW w:w="1512" w:type="dxa"/>
            <w:tcBorders>
              <w:top w:val="nil"/>
              <w:left w:val="single" w:sz="4" w:space="0" w:color="auto"/>
              <w:bottom w:val="single" w:sz="4" w:space="0" w:color="auto"/>
              <w:right w:val="single" w:sz="4" w:space="0" w:color="auto"/>
            </w:tcBorders>
            <w:vAlign w:val="center"/>
          </w:tcPr>
          <w:p w14:paraId="092E9DD6" w14:textId="77777777" w:rsidR="007964E0" w:rsidRPr="00DB67A4" w:rsidRDefault="00057C1D" w:rsidP="007D4C41">
            <w:pPr>
              <w:pStyle w:val="BodyTextIndent"/>
              <w:ind w:firstLine="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oMath>
            </m:oMathPara>
          </w:p>
        </w:tc>
      </w:tr>
      <w:tr w:rsidR="00F90934" w:rsidRPr="00DB67A4" w14:paraId="1E5D25C9" w14:textId="77777777" w:rsidTr="007964E0">
        <w:trPr>
          <w:trHeight w:val="221"/>
        </w:trPr>
        <w:tc>
          <w:tcPr>
            <w:tcW w:w="1163" w:type="dxa"/>
            <w:tcBorders>
              <w:top w:val="single" w:sz="4" w:space="0" w:color="auto"/>
              <w:left w:val="single" w:sz="4" w:space="0" w:color="auto"/>
              <w:bottom w:val="nil"/>
              <w:right w:val="single" w:sz="4" w:space="0" w:color="auto"/>
            </w:tcBorders>
            <w:shd w:val="clear" w:color="auto" w:fill="auto"/>
            <w:vAlign w:val="bottom"/>
          </w:tcPr>
          <w:p w14:paraId="63CE0F5A" w14:textId="77777777" w:rsidR="00F90934" w:rsidRPr="00DB67A4" w:rsidRDefault="00F90934" w:rsidP="00F90934">
            <w:pPr>
              <w:pStyle w:val="BodyTextIndent"/>
              <w:ind w:firstLine="0"/>
              <w:jc w:val="left"/>
              <w:rPr>
                <w:sz w:val="18"/>
                <w:szCs w:val="18"/>
              </w:rPr>
            </w:pPr>
            <w:r w:rsidRPr="00DB67A4">
              <w:rPr>
                <w:sz w:val="18"/>
                <w:szCs w:val="18"/>
              </w:rPr>
              <w:t>Fuel</w:t>
            </w:r>
          </w:p>
        </w:tc>
        <w:tc>
          <w:tcPr>
            <w:tcW w:w="1507" w:type="dxa"/>
            <w:tcBorders>
              <w:top w:val="single" w:sz="4" w:space="0" w:color="auto"/>
              <w:left w:val="single" w:sz="4" w:space="0" w:color="auto"/>
              <w:bottom w:val="nil"/>
              <w:right w:val="single" w:sz="4" w:space="0" w:color="auto"/>
            </w:tcBorders>
          </w:tcPr>
          <w:p w14:paraId="732FCA81" w14:textId="214EB827" w:rsidR="00F90934" w:rsidRPr="00DB67A4" w:rsidRDefault="00F90934" w:rsidP="00F90934">
            <w:pPr>
              <w:pStyle w:val="BodyTextIndent"/>
              <w:ind w:firstLine="0"/>
              <w:jc w:val="center"/>
              <w:rPr>
                <w:sz w:val="18"/>
                <w:szCs w:val="18"/>
              </w:rPr>
            </w:pPr>
            <w:r w:rsidRPr="00DB67A4">
              <w:t>0.39750</w:t>
            </w:r>
          </w:p>
        </w:tc>
        <w:tc>
          <w:tcPr>
            <w:tcW w:w="502" w:type="dxa"/>
            <w:tcBorders>
              <w:top w:val="single" w:sz="4" w:space="0" w:color="auto"/>
              <w:left w:val="single" w:sz="4" w:space="0" w:color="auto"/>
              <w:bottom w:val="nil"/>
              <w:right w:val="single" w:sz="4" w:space="0" w:color="auto"/>
            </w:tcBorders>
          </w:tcPr>
          <w:p w14:paraId="0B78BCC4"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tcPr>
          <w:p w14:paraId="31EE4F18" w14:textId="2D79E660" w:rsidR="00F90934" w:rsidRPr="00DB67A4" w:rsidRDefault="00F90934" w:rsidP="00F90934">
            <w:pPr>
              <w:pStyle w:val="BodyTextIndent"/>
              <w:ind w:firstLine="0"/>
              <w:jc w:val="center"/>
              <w:rPr>
                <w:sz w:val="18"/>
                <w:szCs w:val="18"/>
              </w:rPr>
            </w:pPr>
            <w:r w:rsidRPr="00DB67A4">
              <w:t>0.00002</w:t>
            </w:r>
          </w:p>
        </w:tc>
      </w:tr>
      <w:tr w:rsidR="00F90934" w:rsidRPr="00DB67A4" w14:paraId="1091871D" w14:textId="77777777" w:rsidTr="007964E0">
        <w:trPr>
          <w:trHeight w:val="231"/>
        </w:trPr>
        <w:tc>
          <w:tcPr>
            <w:tcW w:w="1163" w:type="dxa"/>
            <w:tcBorders>
              <w:top w:val="nil"/>
              <w:left w:val="single" w:sz="4" w:space="0" w:color="auto"/>
              <w:bottom w:val="single" w:sz="4" w:space="0" w:color="auto"/>
              <w:right w:val="single" w:sz="4" w:space="0" w:color="auto"/>
            </w:tcBorders>
            <w:shd w:val="clear" w:color="auto" w:fill="auto"/>
            <w:vAlign w:val="bottom"/>
          </w:tcPr>
          <w:p w14:paraId="767F503B" w14:textId="77777777" w:rsidR="00F90934" w:rsidRPr="00DB67A4" w:rsidRDefault="00F90934" w:rsidP="00F90934">
            <w:pPr>
              <w:pStyle w:val="BodyTextIndent"/>
              <w:ind w:firstLine="0"/>
              <w:jc w:val="left"/>
              <w:rPr>
                <w:sz w:val="18"/>
                <w:szCs w:val="18"/>
              </w:rPr>
            </w:pPr>
            <w:r w:rsidRPr="00DB67A4">
              <w:rPr>
                <w:sz w:val="18"/>
                <w:szCs w:val="18"/>
              </w:rPr>
              <w:t>Water</w:t>
            </w:r>
          </w:p>
        </w:tc>
        <w:tc>
          <w:tcPr>
            <w:tcW w:w="1507" w:type="dxa"/>
            <w:tcBorders>
              <w:top w:val="nil"/>
              <w:left w:val="single" w:sz="4" w:space="0" w:color="auto"/>
              <w:bottom w:val="single" w:sz="4" w:space="0" w:color="auto"/>
              <w:right w:val="single" w:sz="4" w:space="0" w:color="auto"/>
            </w:tcBorders>
          </w:tcPr>
          <w:p w14:paraId="0D35DAD4" w14:textId="41357F91" w:rsidR="00F90934" w:rsidRPr="00DB67A4" w:rsidRDefault="00F90934" w:rsidP="00F90934">
            <w:pPr>
              <w:pStyle w:val="BodyTextIndent"/>
              <w:ind w:firstLine="0"/>
              <w:jc w:val="center"/>
              <w:rPr>
                <w:sz w:val="18"/>
                <w:szCs w:val="18"/>
              </w:rPr>
            </w:pPr>
            <w:r w:rsidRPr="00DB67A4">
              <w:t>1.12079</w:t>
            </w:r>
          </w:p>
        </w:tc>
        <w:tc>
          <w:tcPr>
            <w:tcW w:w="502" w:type="dxa"/>
            <w:tcBorders>
              <w:top w:val="nil"/>
              <w:left w:val="single" w:sz="4" w:space="0" w:color="auto"/>
              <w:bottom w:val="single" w:sz="4" w:space="0" w:color="auto"/>
              <w:right w:val="single" w:sz="4" w:space="0" w:color="auto"/>
            </w:tcBorders>
          </w:tcPr>
          <w:p w14:paraId="6618A000" w14:textId="77777777" w:rsidR="00F90934" w:rsidRPr="00DB67A4" w:rsidRDefault="00F90934" w:rsidP="00F90934">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single" w:sz="4" w:space="0" w:color="auto"/>
              <w:right w:val="single" w:sz="4" w:space="0" w:color="auto"/>
            </w:tcBorders>
          </w:tcPr>
          <w:p w14:paraId="59BF078D" w14:textId="4A9B759F" w:rsidR="00F90934" w:rsidRPr="00DB67A4" w:rsidRDefault="00F90934" w:rsidP="00F90934">
            <w:pPr>
              <w:pStyle w:val="BodyTextIndent"/>
              <w:ind w:firstLine="0"/>
              <w:jc w:val="center"/>
              <w:rPr>
                <w:sz w:val="18"/>
                <w:szCs w:val="18"/>
              </w:rPr>
            </w:pPr>
            <w:r w:rsidRPr="00DB67A4">
              <w:t>0.00004</w:t>
            </w:r>
          </w:p>
        </w:tc>
      </w:tr>
    </w:tbl>
    <w:p w14:paraId="6554D7EF" w14:textId="0FEE99A4" w:rsidR="00196090" w:rsidRPr="00DB67A4" w:rsidRDefault="00196090" w:rsidP="00155D92">
      <w:pPr>
        <w:pStyle w:val="BodyTextIndent"/>
        <w:ind w:firstLine="0"/>
        <w:rPr>
          <w:bCs/>
          <w:sz w:val="22"/>
          <w:szCs w:val="22"/>
        </w:rPr>
      </w:pPr>
    </w:p>
    <w:p w14:paraId="51A548CA" w14:textId="428E4880" w:rsidR="00F90934" w:rsidRPr="00DB67A4" w:rsidRDefault="00F90934" w:rsidP="00F90934">
      <w:pPr>
        <w:pStyle w:val="BodyTextIndent"/>
        <w:jc w:val="left"/>
        <w:rPr>
          <w:bCs/>
          <w:sz w:val="22"/>
          <w:szCs w:val="22"/>
        </w:rPr>
      </w:pPr>
      <w:r w:rsidRPr="00DB67A4">
        <w:rPr>
          <w:i/>
          <w:iCs/>
        </w:rPr>
        <w:t xml:space="preserve">Table I.6 Volume Statistics Calculation Differences Between </w:t>
      </w:r>
      <w:r w:rsidR="007964E0" w:rsidRPr="00DB67A4">
        <w:rPr>
          <w:i/>
          <w:iCs/>
        </w:rPr>
        <w:t>Curved and</w:t>
      </w:r>
      <w:r w:rsidRPr="00DB67A4">
        <w:rPr>
          <w:i/>
          <w:iCs/>
        </w:rPr>
        <w:t xml:space="preserve"> Flat Fuel Element</w:t>
      </w:r>
    </w:p>
    <w:tbl>
      <w:tblPr>
        <w:tblW w:w="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507"/>
        <w:gridCol w:w="502"/>
        <w:gridCol w:w="1512"/>
      </w:tblGrid>
      <w:tr w:rsidR="00F90934" w:rsidRPr="00DB67A4" w14:paraId="443473FB" w14:textId="77777777" w:rsidTr="007964E0">
        <w:trPr>
          <w:trHeight w:val="221"/>
        </w:trPr>
        <w:tc>
          <w:tcPr>
            <w:tcW w:w="1163" w:type="dxa"/>
            <w:vMerge w:val="restart"/>
            <w:tcBorders>
              <w:top w:val="single" w:sz="4" w:space="0" w:color="auto"/>
              <w:left w:val="single" w:sz="4" w:space="0" w:color="auto"/>
              <w:bottom w:val="single" w:sz="4" w:space="0" w:color="auto"/>
              <w:right w:val="single" w:sz="4" w:space="0" w:color="auto"/>
            </w:tcBorders>
            <w:vAlign w:val="center"/>
          </w:tcPr>
          <w:p w14:paraId="4CE6560F" w14:textId="77777777" w:rsidR="00F90934" w:rsidRPr="00DB67A4" w:rsidRDefault="00F90934" w:rsidP="007D4C41">
            <w:pPr>
              <w:pStyle w:val="BodyTextIndent"/>
              <w:ind w:firstLine="0"/>
              <w:jc w:val="left"/>
              <w:rPr>
                <w:sz w:val="18"/>
                <w:szCs w:val="18"/>
              </w:rPr>
            </w:pPr>
            <w:r w:rsidRPr="00DB67A4">
              <w:rPr>
                <w:sz w:val="18"/>
                <w:szCs w:val="18"/>
              </w:rPr>
              <w:t>Material</w:t>
            </w:r>
          </w:p>
        </w:tc>
        <w:tc>
          <w:tcPr>
            <w:tcW w:w="3521" w:type="dxa"/>
            <w:gridSpan w:val="3"/>
            <w:tcBorders>
              <w:top w:val="single" w:sz="4" w:space="0" w:color="auto"/>
              <w:left w:val="single" w:sz="4" w:space="0" w:color="auto"/>
              <w:bottom w:val="single" w:sz="4" w:space="0" w:color="auto"/>
              <w:right w:val="single" w:sz="4" w:space="0" w:color="auto"/>
            </w:tcBorders>
            <w:vAlign w:val="center"/>
          </w:tcPr>
          <w:p w14:paraId="3B804DC6" w14:textId="77777777" w:rsidR="00F90934" w:rsidRPr="00DB67A4" w:rsidRDefault="00F90934" w:rsidP="007D4C41">
            <w:pPr>
              <w:pStyle w:val="BodyTextIndent"/>
              <w:ind w:firstLine="0"/>
              <w:jc w:val="center"/>
              <w:rPr>
                <w:sz w:val="18"/>
                <w:szCs w:val="18"/>
              </w:rPr>
            </w:pPr>
            <w:r w:rsidRPr="00DB67A4">
              <w:rPr>
                <w:sz w:val="18"/>
                <w:szCs w:val="18"/>
              </w:rPr>
              <w:t>Flat</w:t>
            </w:r>
          </w:p>
        </w:tc>
      </w:tr>
      <w:tr w:rsidR="007964E0" w:rsidRPr="00DB67A4" w14:paraId="046E5ADC" w14:textId="77777777" w:rsidTr="007964E0">
        <w:trPr>
          <w:trHeight w:val="231"/>
        </w:trPr>
        <w:tc>
          <w:tcPr>
            <w:tcW w:w="1163" w:type="dxa"/>
            <w:vMerge/>
            <w:tcBorders>
              <w:top w:val="single" w:sz="4" w:space="0" w:color="auto"/>
              <w:left w:val="single" w:sz="4" w:space="0" w:color="auto"/>
              <w:bottom w:val="single" w:sz="4" w:space="0" w:color="auto"/>
              <w:right w:val="single" w:sz="4" w:space="0" w:color="auto"/>
            </w:tcBorders>
            <w:vAlign w:val="center"/>
          </w:tcPr>
          <w:p w14:paraId="2B522FDD" w14:textId="77777777" w:rsidR="007964E0" w:rsidRPr="00DB67A4" w:rsidRDefault="007964E0" w:rsidP="007D4C41">
            <w:pPr>
              <w:pStyle w:val="BodyTextIndent"/>
              <w:ind w:firstLine="0"/>
              <w:jc w:val="left"/>
              <w:rPr>
                <w:sz w:val="18"/>
                <w:szCs w:val="18"/>
              </w:rPr>
            </w:pPr>
          </w:p>
        </w:tc>
        <w:tc>
          <w:tcPr>
            <w:tcW w:w="1507" w:type="dxa"/>
            <w:tcBorders>
              <w:top w:val="single" w:sz="4" w:space="0" w:color="auto"/>
              <w:left w:val="single" w:sz="4" w:space="0" w:color="auto"/>
              <w:bottom w:val="nil"/>
              <w:right w:val="single" w:sz="4" w:space="0" w:color="auto"/>
            </w:tcBorders>
            <w:vAlign w:val="center"/>
          </w:tcPr>
          <w:p w14:paraId="0B02F64C" w14:textId="77777777" w:rsidR="007964E0" w:rsidRPr="00DB67A4" w:rsidRDefault="007964E0" w:rsidP="007D4C41">
            <w:pPr>
              <w:pStyle w:val="BodyTextIndent"/>
              <w:ind w:firstLine="0"/>
              <w:jc w:val="left"/>
              <w:rPr>
                <w:sz w:val="18"/>
                <w:szCs w:val="18"/>
              </w:rPr>
            </w:pPr>
            <m:oMathPara>
              <m:oMath>
                <m:r>
                  <w:rPr>
                    <w:rFonts w:ascii="Cambria Math" w:hAnsi="Cambria Math"/>
                    <w:sz w:val="18"/>
                    <w:szCs w:val="18"/>
                  </w:rPr>
                  <m:t>Volume</m:t>
                </m:r>
              </m:oMath>
            </m:oMathPara>
          </w:p>
        </w:tc>
        <w:tc>
          <w:tcPr>
            <w:tcW w:w="502" w:type="dxa"/>
            <w:vMerge w:val="restart"/>
            <w:tcBorders>
              <w:top w:val="single" w:sz="4" w:space="0" w:color="auto"/>
              <w:left w:val="single" w:sz="4" w:space="0" w:color="auto"/>
              <w:right w:val="single" w:sz="4" w:space="0" w:color="auto"/>
            </w:tcBorders>
            <w:vAlign w:val="center"/>
          </w:tcPr>
          <w:p w14:paraId="0BAF8041" w14:textId="77777777" w:rsidR="007964E0" w:rsidRPr="00DB67A4" w:rsidRDefault="007964E0" w:rsidP="007D4C41">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vAlign w:val="center"/>
          </w:tcPr>
          <w:p w14:paraId="66D7EB64" w14:textId="77777777" w:rsidR="007964E0" w:rsidRPr="00DB67A4" w:rsidRDefault="007964E0" w:rsidP="007D4C41">
            <w:pPr>
              <w:pStyle w:val="BodyTextIndent"/>
              <w:ind w:firstLine="0"/>
              <w:jc w:val="center"/>
              <w:rPr>
                <w:sz w:val="18"/>
                <w:szCs w:val="18"/>
              </w:rPr>
            </w:pPr>
            <m:oMathPara>
              <m:oMath>
                <m:r>
                  <m:rPr>
                    <m:sty m:val="bi"/>
                  </m:rPr>
                  <w:rPr>
                    <w:rFonts w:ascii="Cambria Math" w:hAnsi="Cambria Math"/>
                    <w:sz w:val="18"/>
                    <w:szCs w:val="18"/>
                  </w:rPr>
                  <m:t>σ</m:t>
                </m:r>
              </m:oMath>
            </m:oMathPara>
          </w:p>
        </w:tc>
      </w:tr>
      <w:tr w:rsidR="007964E0" w:rsidRPr="00DB67A4" w14:paraId="359637C1" w14:textId="77777777" w:rsidTr="007964E0">
        <w:trPr>
          <w:trHeight w:val="461"/>
        </w:trPr>
        <w:tc>
          <w:tcPr>
            <w:tcW w:w="1163" w:type="dxa"/>
            <w:vMerge/>
            <w:tcBorders>
              <w:top w:val="single" w:sz="4" w:space="0" w:color="auto"/>
              <w:left w:val="single" w:sz="4" w:space="0" w:color="auto"/>
              <w:bottom w:val="single" w:sz="4" w:space="0" w:color="auto"/>
              <w:right w:val="single" w:sz="4" w:space="0" w:color="auto"/>
            </w:tcBorders>
          </w:tcPr>
          <w:p w14:paraId="18A0633F" w14:textId="77777777" w:rsidR="007964E0" w:rsidRPr="00DB67A4" w:rsidRDefault="007964E0" w:rsidP="007D4C41">
            <w:pPr>
              <w:pStyle w:val="BodyTextIndent"/>
              <w:ind w:firstLine="0"/>
              <w:jc w:val="left"/>
              <w:rPr>
                <w:sz w:val="18"/>
                <w:szCs w:val="18"/>
              </w:rPr>
            </w:pPr>
          </w:p>
        </w:tc>
        <w:tc>
          <w:tcPr>
            <w:tcW w:w="1507" w:type="dxa"/>
            <w:tcBorders>
              <w:top w:val="nil"/>
              <w:left w:val="single" w:sz="4" w:space="0" w:color="auto"/>
              <w:bottom w:val="single" w:sz="4" w:space="0" w:color="auto"/>
              <w:right w:val="single" w:sz="4" w:space="0" w:color="auto"/>
            </w:tcBorders>
            <w:vAlign w:val="center"/>
          </w:tcPr>
          <w:p w14:paraId="5C0C19A3" w14:textId="3DFB29B4" w:rsidR="007964E0" w:rsidRPr="00DB67A4" w:rsidRDefault="007964E0" w:rsidP="007D4C41">
            <w:pPr>
              <w:pStyle w:val="BodyTextIndent"/>
              <w:ind w:firstLine="0"/>
              <w:jc w:val="left"/>
              <w:rPr>
                <w:sz w:val="18"/>
                <w:szCs w:val="18"/>
              </w:rPr>
            </w:pPr>
            <m:oMathPara>
              <m:oMath>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oMath>
            </m:oMathPara>
          </w:p>
        </w:tc>
        <w:tc>
          <w:tcPr>
            <w:tcW w:w="502" w:type="dxa"/>
            <w:vMerge/>
            <w:tcBorders>
              <w:left w:val="single" w:sz="4" w:space="0" w:color="auto"/>
              <w:bottom w:val="single" w:sz="4" w:space="0" w:color="auto"/>
              <w:right w:val="single" w:sz="4" w:space="0" w:color="auto"/>
            </w:tcBorders>
            <w:vAlign w:val="center"/>
          </w:tcPr>
          <w:p w14:paraId="5740736E" w14:textId="77777777" w:rsidR="007964E0" w:rsidRPr="00DB67A4" w:rsidRDefault="007964E0" w:rsidP="007D4C41">
            <w:pPr>
              <w:pStyle w:val="BodyTextIndent"/>
              <w:ind w:firstLine="0"/>
              <w:jc w:val="center"/>
              <w:rPr>
                <w:sz w:val="18"/>
                <w:szCs w:val="18"/>
              </w:rPr>
            </w:pPr>
          </w:p>
        </w:tc>
        <w:tc>
          <w:tcPr>
            <w:tcW w:w="1512" w:type="dxa"/>
            <w:tcBorders>
              <w:top w:val="nil"/>
              <w:left w:val="single" w:sz="4" w:space="0" w:color="auto"/>
              <w:bottom w:val="single" w:sz="4" w:space="0" w:color="auto"/>
              <w:right w:val="single" w:sz="4" w:space="0" w:color="auto"/>
            </w:tcBorders>
            <w:vAlign w:val="center"/>
          </w:tcPr>
          <w:p w14:paraId="5E992E68" w14:textId="77777777" w:rsidR="007964E0" w:rsidRPr="00DB67A4" w:rsidRDefault="00057C1D" w:rsidP="007D4C41">
            <w:pPr>
              <w:pStyle w:val="BodyTextIndent"/>
              <w:ind w:firstLine="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cm</m:t>
                    </m:r>
                  </m:e>
                  <m:sup>
                    <m:r>
                      <w:rPr>
                        <w:rFonts w:ascii="Cambria Math" w:hAnsi="Cambria Math"/>
                        <w:sz w:val="18"/>
                        <w:szCs w:val="18"/>
                      </w:rPr>
                      <m:t>3</m:t>
                    </m:r>
                  </m:sup>
                </m:sSup>
              </m:oMath>
            </m:oMathPara>
          </w:p>
        </w:tc>
      </w:tr>
      <w:tr w:rsidR="007964E0" w:rsidRPr="00DB67A4" w14:paraId="1EBACC91" w14:textId="77777777" w:rsidTr="007964E0">
        <w:trPr>
          <w:trHeight w:val="221"/>
        </w:trPr>
        <w:tc>
          <w:tcPr>
            <w:tcW w:w="1163" w:type="dxa"/>
            <w:tcBorders>
              <w:top w:val="single" w:sz="4" w:space="0" w:color="auto"/>
              <w:left w:val="single" w:sz="4" w:space="0" w:color="auto"/>
              <w:bottom w:val="nil"/>
              <w:right w:val="single" w:sz="4" w:space="0" w:color="auto"/>
            </w:tcBorders>
            <w:shd w:val="clear" w:color="auto" w:fill="auto"/>
            <w:vAlign w:val="bottom"/>
          </w:tcPr>
          <w:p w14:paraId="5EE5B723" w14:textId="77777777" w:rsidR="007964E0" w:rsidRPr="00DB67A4" w:rsidRDefault="007964E0" w:rsidP="007964E0">
            <w:pPr>
              <w:pStyle w:val="BodyTextIndent"/>
              <w:ind w:firstLine="0"/>
              <w:jc w:val="left"/>
              <w:rPr>
                <w:sz w:val="18"/>
                <w:szCs w:val="18"/>
              </w:rPr>
            </w:pPr>
            <w:r w:rsidRPr="00DB67A4">
              <w:rPr>
                <w:sz w:val="18"/>
                <w:szCs w:val="18"/>
              </w:rPr>
              <w:t>Fuel</w:t>
            </w:r>
          </w:p>
        </w:tc>
        <w:tc>
          <w:tcPr>
            <w:tcW w:w="1507" w:type="dxa"/>
            <w:tcBorders>
              <w:top w:val="single" w:sz="4" w:space="0" w:color="auto"/>
              <w:left w:val="single" w:sz="4" w:space="0" w:color="auto"/>
              <w:bottom w:val="nil"/>
              <w:right w:val="single" w:sz="4" w:space="0" w:color="auto"/>
            </w:tcBorders>
          </w:tcPr>
          <w:p w14:paraId="2DAF9341" w14:textId="73A3A1E2" w:rsidR="007964E0" w:rsidRPr="00DB67A4" w:rsidRDefault="007964E0" w:rsidP="007964E0">
            <w:pPr>
              <w:pStyle w:val="BodyTextIndent"/>
              <w:ind w:firstLine="0"/>
              <w:jc w:val="center"/>
              <w:rPr>
                <w:sz w:val="18"/>
                <w:szCs w:val="18"/>
              </w:rPr>
            </w:pPr>
            <w:r w:rsidRPr="00DB67A4">
              <w:t>0.00010</w:t>
            </w:r>
          </w:p>
        </w:tc>
        <w:tc>
          <w:tcPr>
            <w:tcW w:w="502" w:type="dxa"/>
            <w:tcBorders>
              <w:top w:val="single" w:sz="4" w:space="0" w:color="auto"/>
              <w:left w:val="single" w:sz="4" w:space="0" w:color="auto"/>
              <w:bottom w:val="nil"/>
              <w:right w:val="single" w:sz="4" w:space="0" w:color="auto"/>
            </w:tcBorders>
          </w:tcPr>
          <w:p w14:paraId="43B100C6" w14:textId="77777777" w:rsidR="007964E0" w:rsidRPr="00DB67A4" w:rsidRDefault="007964E0" w:rsidP="007964E0">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single" w:sz="4" w:space="0" w:color="auto"/>
              <w:left w:val="single" w:sz="4" w:space="0" w:color="auto"/>
              <w:bottom w:val="nil"/>
              <w:right w:val="single" w:sz="4" w:space="0" w:color="auto"/>
            </w:tcBorders>
          </w:tcPr>
          <w:p w14:paraId="787795CD" w14:textId="0C4BBDD2" w:rsidR="007964E0" w:rsidRPr="00DB67A4" w:rsidRDefault="007964E0" w:rsidP="007964E0">
            <w:pPr>
              <w:pStyle w:val="BodyTextIndent"/>
              <w:ind w:firstLine="0"/>
              <w:jc w:val="center"/>
              <w:rPr>
                <w:sz w:val="18"/>
                <w:szCs w:val="18"/>
              </w:rPr>
            </w:pPr>
            <w:r w:rsidRPr="00DB67A4">
              <w:t>0.00003</w:t>
            </w:r>
          </w:p>
        </w:tc>
      </w:tr>
      <w:tr w:rsidR="007964E0" w:rsidRPr="00F90934" w14:paraId="476D9D52" w14:textId="77777777" w:rsidTr="007964E0">
        <w:trPr>
          <w:trHeight w:val="231"/>
        </w:trPr>
        <w:tc>
          <w:tcPr>
            <w:tcW w:w="1163" w:type="dxa"/>
            <w:tcBorders>
              <w:top w:val="nil"/>
              <w:left w:val="single" w:sz="4" w:space="0" w:color="auto"/>
              <w:bottom w:val="single" w:sz="4" w:space="0" w:color="auto"/>
              <w:right w:val="single" w:sz="4" w:space="0" w:color="auto"/>
            </w:tcBorders>
            <w:shd w:val="clear" w:color="auto" w:fill="auto"/>
            <w:vAlign w:val="bottom"/>
          </w:tcPr>
          <w:p w14:paraId="7F468A26" w14:textId="77777777" w:rsidR="007964E0" w:rsidRPr="00DB67A4" w:rsidRDefault="007964E0" w:rsidP="007964E0">
            <w:pPr>
              <w:pStyle w:val="BodyTextIndent"/>
              <w:ind w:firstLine="0"/>
              <w:jc w:val="left"/>
              <w:rPr>
                <w:sz w:val="18"/>
                <w:szCs w:val="18"/>
              </w:rPr>
            </w:pPr>
            <w:r w:rsidRPr="00DB67A4">
              <w:rPr>
                <w:sz w:val="18"/>
                <w:szCs w:val="18"/>
              </w:rPr>
              <w:t>Water</w:t>
            </w:r>
          </w:p>
        </w:tc>
        <w:tc>
          <w:tcPr>
            <w:tcW w:w="1507" w:type="dxa"/>
            <w:tcBorders>
              <w:top w:val="nil"/>
              <w:left w:val="single" w:sz="4" w:space="0" w:color="auto"/>
              <w:bottom w:val="single" w:sz="4" w:space="0" w:color="auto"/>
              <w:right w:val="single" w:sz="4" w:space="0" w:color="auto"/>
            </w:tcBorders>
          </w:tcPr>
          <w:p w14:paraId="502ECBD7" w14:textId="274FDDC2" w:rsidR="007964E0" w:rsidRPr="00DB67A4" w:rsidRDefault="007964E0" w:rsidP="007964E0">
            <w:pPr>
              <w:pStyle w:val="BodyTextIndent"/>
              <w:ind w:firstLine="0"/>
              <w:jc w:val="center"/>
              <w:rPr>
                <w:sz w:val="18"/>
                <w:szCs w:val="18"/>
              </w:rPr>
            </w:pPr>
            <w:r w:rsidRPr="00DB67A4">
              <w:t>-0.00011</w:t>
            </w:r>
          </w:p>
        </w:tc>
        <w:tc>
          <w:tcPr>
            <w:tcW w:w="502" w:type="dxa"/>
            <w:tcBorders>
              <w:top w:val="nil"/>
              <w:left w:val="single" w:sz="4" w:space="0" w:color="auto"/>
              <w:bottom w:val="single" w:sz="4" w:space="0" w:color="auto"/>
              <w:right w:val="single" w:sz="4" w:space="0" w:color="auto"/>
            </w:tcBorders>
          </w:tcPr>
          <w:p w14:paraId="2E4ED0A5" w14:textId="77777777" w:rsidR="007964E0" w:rsidRPr="00DB67A4" w:rsidRDefault="007964E0" w:rsidP="007964E0">
            <w:pPr>
              <w:pStyle w:val="BodyTextIndent"/>
              <w:ind w:firstLine="0"/>
              <w:jc w:val="center"/>
              <w:rPr>
                <w:sz w:val="18"/>
                <w:szCs w:val="18"/>
              </w:rPr>
            </w:pPr>
            <m:oMathPara>
              <m:oMath>
                <m:r>
                  <m:rPr>
                    <m:sty m:val="p"/>
                  </m:rPr>
                  <w:rPr>
                    <w:rFonts w:ascii="Cambria Math" w:hAnsi="Cambria Math"/>
                    <w:sz w:val="18"/>
                    <w:szCs w:val="18"/>
                  </w:rPr>
                  <m:t>±</m:t>
                </m:r>
              </m:oMath>
            </m:oMathPara>
          </w:p>
        </w:tc>
        <w:tc>
          <w:tcPr>
            <w:tcW w:w="1512" w:type="dxa"/>
            <w:tcBorders>
              <w:top w:val="nil"/>
              <w:left w:val="single" w:sz="4" w:space="0" w:color="auto"/>
              <w:bottom w:val="single" w:sz="4" w:space="0" w:color="auto"/>
              <w:right w:val="single" w:sz="4" w:space="0" w:color="auto"/>
            </w:tcBorders>
          </w:tcPr>
          <w:p w14:paraId="20A7261B" w14:textId="1E364DC4" w:rsidR="007964E0" w:rsidRPr="00F90934" w:rsidRDefault="007964E0" w:rsidP="007964E0">
            <w:pPr>
              <w:pStyle w:val="BodyTextIndent"/>
              <w:ind w:firstLine="0"/>
              <w:jc w:val="center"/>
              <w:rPr>
                <w:sz w:val="18"/>
                <w:szCs w:val="18"/>
              </w:rPr>
            </w:pPr>
            <w:r w:rsidRPr="00DB67A4">
              <w:t>0.00005</w:t>
            </w:r>
          </w:p>
        </w:tc>
      </w:tr>
    </w:tbl>
    <w:p w14:paraId="4F88E425" w14:textId="77777777" w:rsidR="00F90934" w:rsidRDefault="00F90934" w:rsidP="00155D92">
      <w:pPr>
        <w:pStyle w:val="BodyTextIndent"/>
        <w:ind w:firstLine="0"/>
        <w:rPr>
          <w:bCs/>
          <w:sz w:val="22"/>
          <w:szCs w:val="22"/>
        </w:rPr>
      </w:pPr>
    </w:p>
    <w:p w14:paraId="1F5FB0EC" w14:textId="12078107" w:rsidR="004A3589" w:rsidRDefault="00155D92" w:rsidP="007964E0">
      <w:pPr>
        <w:pStyle w:val="BodyTextIndent"/>
        <w:rPr>
          <w:bCs/>
          <w:sz w:val="22"/>
          <w:szCs w:val="22"/>
        </w:rPr>
      </w:pPr>
      <w:r w:rsidRPr="00155D92">
        <w:rPr>
          <w:bCs/>
          <w:sz w:val="22"/>
          <w:szCs w:val="22"/>
        </w:rPr>
        <w:t>The table</w:t>
      </w:r>
      <w:r w:rsidR="007964E0">
        <w:rPr>
          <w:bCs/>
          <w:sz w:val="22"/>
          <w:szCs w:val="22"/>
        </w:rPr>
        <w:t>s</w:t>
      </w:r>
      <w:r w:rsidRPr="00155D92">
        <w:rPr>
          <w:bCs/>
          <w:sz w:val="22"/>
          <w:szCs w:val="22"/>
        </w:rPr>
        <w:t xml:space="preserve"> show the </w:t>
      </w:r>
      <w:r w:rsidR="007964E0">
        <w:rPr>
          <w:bCs/>
          <w:sz w:val="22"/>
          <w:szCs w:val="22"/>
        </w:rPr>
        <w:t xml:space="preserve">number of atoms and </w:t>
      </w:r>
      <w:r w:rsidRPr="00155D92">
        <w:rPr>
          <w:bCs/>
          <w:sz w:val="22"/>
          <w:szCs w:val="22"/>
        </w:rPr>
        <w:t>volume of each fuel element model, along with the difference between the two models. The difference in volume between the curved and flat fuel elements is approximately 0.0001 ∆atom (</w:t>
      </w:r>
      <m:oMath>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21</m:t>
            </m:r>
          </m:sup>
        </m:sSup>
      </m:oMath>
      <w:r w:rsidRPr="00155D92">
        <w:rPr>
          <w:bCs/>
          <w:sz w:val="22"/>
          <w:szCs w:val="22"/>
        </w:rPr>
        <w:t>), with a slightly higher volume observed in the flat fuel element model. The successful volume matching further strengthens the validity of the comparison between the curved and flat fuel element models, as it eliminates potential discrepancies arising from varying fuel volumes.</w:t>
      </w:r>
    </w:p>
    <w:p w14:paraId="44EDA676" w14:textId="6C17CA31" w:rsidR="007964E0" w:rsidRDefault="007964E0" w:rsidP="007964E0">
      <w:pPr>
        <w:pStyle w:val="BodyTextIndent"/>
        <w:rPr>
          <w:bCs/>
          <w:sz w:val="22"/>
          <w:szCs w:val="22"/>
        </w:rPr>
      </w:pPr>
    </w:p>
    <w:p w14:paraId="5ECB6324" w14:textId="78F08C3E" w:rsidR="007964E0" w:rsidRDefault="007964E0" w:rsidP="007964E0">
      <w:pPr>
        <w:pStyle w:val="BodyTextIndent"/>
        <w:ind w:firstLine="0"/>
        <w:rPr>
          <w:b/>
          <w:sz w:val="22"/>
          <w:szCs w:val="22"/>
        </w:rPr>
      </w:pPr>
      <w:r>
        <w:rPr>
          <w:b/>
          <w:sz w:val="22"/>
          <w:szCs w:val="22"/>
        </w:rPr>
        <w:t>V. Conclusion</w:t>
      </w:r>
    </w:p>
    <w:p w14:paraId="3F41139F" w14:textId="77777777" w:rsidR="00080A08" w:rsidRDefault="00080A08" w:rsidP="007964E0">
      <w:pPr>
        <w:pStyle w:val="BodyTextIndent"/>
        <w:ind w:firstLine="0"/>
        <w:rPr>
          <w:b/>
          <w:sz w:val="22"/>
          <w:szCs w:val="22"/>
        </w:rPr>
      </w:pPr>
    </w:p>
    <w:p w14:paraId="3C3395F7" w14:textId="79E1133C" w:rsidR="007964E0" w:rsidRPr="007964E0" w:rsidRDefault="007964E0" w:rsidP="00914901">
      <w:pPr>
        <w:pStyle w:val="BodyTextIndent"/>
        <w:rPr>
          <w:bCs/>
          <w:sz w:val="22"/>
          <w:szCs w:val="22"/>
        </w:rPr>
      </w:pPr>
      <w:r w:rsidRPr="007964E0">
        <w:rPr>
          <w:bCs/>
          <w:sz w:val="22"/>
          <w:szCs w:val="22"/>
        </w:rPr>
        <w:t>This study investigated the impact of simulating different fuel shapes for a material testing reactor (MTR) using the OpenMC code. Specifically, the comparison focused on the performance of the MTR fuel when modeled as curved and flat fuel elements in a 2D bare reactor configuration.</w:t>
      </w:r>
    </w:p>
    <w:p w14:paraId="57AC385F" w14:textId="7FFFB45B" w:rsidR="00914901" w:rsidRDefault="007964E0">
      <w:pPr>
        <w:pStyle w:val="BodyTextIndent"/>
        <w:rPr>
          <w:bCs/>
          <w:sz w:val="22"/>
          <w:szCs w:val="22"/>
        </w:rPr>
      </w:pPr>
      <w:r w:rsidRPr="007964E0">
        <w:rPr>
          <w:bCs/>
          <w:sz w:val="22"/>
          <w:szCs w:val="22"/>
        </w:rPr>
        <w:t>The analysis of the simulation results revealed that the k-</w:t>
      </w:r>
      <w:r w:rsidR="00C94898">
        <w:rPr>
          <w:bCs/>
          <w:sz w:val="22"/>
          <w:szCs w:val="22"/>
        </w:rPr>
        <w:t>inf</w:t>
      </w:r>
      <w:r w:rsidRPr="007964E0">
        <w:rPr>
          <w:bCs/>
          <w:sz w:val="22"/>
          <w:szCs w:val="22"/>
        </w:rPr>
        <w:t xml:space="preserve">, representing </w:t>
      </w:r>
      <w:r w:rsidR="00C94898">
        <w:rPr>
          <w:bCs/>
          <w:sz w:val="22"/>
          <w:szCs w:val="22"/>
        </w:rPr>
        <w:t xml:space="preserve">infinite </w:t>
      </w:r>
      <w:r w:rsidRPr="007964E0">
        <w:rPr>
          <w:bCs/>
          <w:sz w:val="22"/>
          <w:szCs w:val="22"/>
        </w:rPr>
        <w:t xml:space="preserve">reactor criticality, showed a slight difference between the curved and flat fuel element models. </w:t>
      </w:r>
    </w:p>
    <w:p w14:paraId="2585C200" w14:textId="1C98D9B8" w:rsidR="007964E0" w:rsidRPr="007964E0" w:rsidRDefault="007964E0">
      <w:pPr>
        <w:pStyle w:val="BodyTextIndent"/>
        <w:rPr>
          <w:bCs/>
          <w:sz w:val="22"/>
          <w:szCs w:val="22"/>
        </w:rPr>
      </w:pPr>
      <w:r w:rsidRPr="007964E0">
        <w:rPr>
          <w:bCs/>
          <w:sz w:val="22"/>
          <w:szCs w:val="22"/>
        </w:rPr>
        <w:t xml:space="preserve">The investigation into the 2D fission distribution and XY flux distribution showed that the spatial </w:t>
      </w:r>
      <w:r w:rsidRPr="007964E0">
        <w:rPr>
          <w:bCs/>
          <w:sz w:val="22"/>
          <w:szCs w:val="22"/>
        </w:rPr>
        <w:lastRenderedPageBreak/>
        <w:t>distribution of fission reactions</w:t>
      </w:r>
      <w:r w:rsidR="00C027B7">
        <w:rPr>
          <w:bCs/>
          <w:sz w:val="22"/>
          <w:szCs w:val="22"/>
        </w:rPr>
        <w:t xml:space="preserve"> has a difference of 4.4% that localized in the center. However,</w:t>
      </w:r>
      <w:r w:rsidR="00C027B7" w:rsidRPr="007964E0">
        <w:rPr>
          <w:bCs/>
          <w:sz w:val="22"/>
          <w:szCs w:val="22"/>
        </w:rPr>
        <w:t xml:space="preserve"> </w:t>
      </w:r>
      <w:r w:rsidRPr="007964E0">
        <w:rPr>
          <w:bCs/>
          <w:sz w:val="22"/>
          <w:szCs w:val="22"/>
        </w:rPr>
        <w:t xml:space="preserve">neutron flux </w:t>
      </w:r>
      <w:r w:rsidR="00C027B7">
        <w:rPr>
          <w:bCs/>
          <w:sz w:val="22"/>
          <w:szCs w:val="22"/>
        </w:rPr>
        <w:t>has minimal effect of 0.25 %</w:t>
      </w:r>
      <w:r w:rsidRPr="007964E0">
        <w:rPr>
          <w:bCs/>
          <w:sz w:val="22"/>
          <w:szCs w:val="22"/>
        </w:rPr>
        <w:t xml:space="preserve"> by the fuel element shape. The similarity in these distributions between the curved and flat fuel element models</w:t>
      </w:r>
      <w:r w:rsidR="00C027B7">
        <w:rPr>
          <w:bCs/>
          <w:sz w:val="22"/>
          <w:szCs w:val="22"/>
        </w:rPr>
        <w:t xml:space="preserve"> can</w:t>
      </w:r>
      <w:r w:rsidRPr="007964E0">
        <w:rPr>
          <w:bCs/>
          <w:sz w:val="22"/>
          <w:szCs w:val="22"/>
        </w:rPr>
        <w:t xml:space="preserve"> support the use of simplified flat fuel element models for certain simulation scenarios, as they yield comparable fission and flux behaviors to the real curved shape.</w:t>
      </w:r>
    </w:p>
    <w:p w14:paraId="4B3911AF" w14:textId="6BD823CB" w:rsidR="007964E0" w:rsidRPr="007964E0" w:rsidRDefault="007964E0">
      <w:pPr>
        <w:pStyle w:val="BodyTextIndent"/>
        <w:rPr>
          <w:bCs/>
          <w:sz w:val="22"/>
          <w:szCs w:val="22"/>
        </w:rPr>
      </w:pPr>
      <w:r w:rsidRPr="007964E0">
        <w:rPr>
          <w:bCs/>
          <w:sz w:val="22"/>
          <w:szCs w:val="22"/>
        </w:rPr>
        <w:t xml:space="preserve">Furthermore, </w:t>
      </w:r>
      <w:r w:rsidR="00C027B7">
        <w:rPr>
          <w:bCs/>
          <w:sz w:val="22"/>
          <w:szCs w:val="22"/>
        </w:rPr>
        <w:t>scholastic</w:t>
      </w:r>
      <w:r w:rsidRPr="007964E0">
        <w:rPr>
          <w:bCs/>
          <w:sz w:val="22"/>
          <w:szCs w:val="22"/>
        </w:rPr>
        <w:t xml:space="preserve"> volume </w:t>
      </w:r>
      <w:r w:rsidR="00C027B7">
        <w:rPr>
          <w:bCs/>
          <w:sz w:val="22"/>
          <w:szCs w:val="22"/>
        </w:rPr>
        <w:t>estimation similarities</w:t>
      </w:r>
      <w:r w:rsidR="00C027B7" w:rsidRPr="007964E0">
        <w:rPr>
          <w:bCs/>
          <w:sz w:val="22"/>
          <w:szCs w:val="22"/>
        </w:rPr>
        <w:t xml:space="preserve"> </w:t>
      </w:r>
      <w:r w:rsidRPr="007964E0">
        <w:rPr>
          <w:bCs/>
          <w:sz w:val="22"/>
          <w:szCs w:val="22"/>
        </w:rPr>
        <w:t>confirmed that the flat fuel element maintained the same fuel volume as the curved fuel element, despite their different shapes.</w:t>
      </w:r>
    </w:p>
    <w:p w14:paraId="7FCADDE9" w14:textId="78B914E5" w:rsidR="00914901" w:rsidRPr="007964E0" w:rsidRDefault="007964E0" w:rsidP="00914901">
      <w:pPr>
        <w:pStyle w:val="BodyTextIndent"/>
        <w:rPr>
          <w:bCs/>
          <w:sz w:val="22"/>
          <w:szCs w:val="22"/>
        </w:rPr>
      </w:pPr>
      <w:r w:rsidRPr="007964E0">
        <w:rPr>
          <w:bCs/>
          <w:sz w:val="22"/>
          <w:szCs w:val="22"/>
        </w:rPr>
        <w:t>Overall, this study contributes to a deeper understanding of the impact of fuel element shape on reactor performance. The findings suggest that simulating the MTR fuel as flat elements can offer a reliable approximation of the neutron behavior in the 2D bare reactor core. However, it is essential to recognize the limitations of the 2D configuration</w:t>
      </w:r>
      <w:r w:rsidRPr="00080A08">
        <w:rPr>
          <w:bCs/>
          <w:sz w:val="22"/>
          <w:szCs w:val="22"/>
        </w:rPr>
        <w:t xml:space="preserve">, and further investigations in a full 3D core setting are </w:t>
      </w:r>
      <w:r w:rsidR="0013355E">
        <w:rPr>
          <w:bCs/>
          <w:sz w:val="22"/>
          <w:szCs w:val="22"/>
        </w:rPr>
        <w:t>essential</w:t>
      </w:r>
      <w:r w:rsidR="0013355E" w:rsidRPr="00080A08">
        <w:rPr>
          <w:bCs/>
          <w:sz w:val="22"/>
          <w:szCs w:val="22"/>
        </w:rPr>
        <w:t xml:space="preserve"> </w:t>
      </w:r>
      <w:r w:rsidRPr="00080A08">
        <w:rPr>
          <w:bCs/>
          <w:sz w:val="22"/>
          <w:szCs w:val="22"/>
        </w:rPr>
        <w:t>to gain a more comprehensive analysis.</w:t>
      </w:r>
    </w:p>
    <w:p w14:paraId="5D2325FE" w14:textId="764B496C" w:rsidR="00155D92" w:rsidRDefault="007964E0">
      <w:pPr>
        <w:pStyle w:val="BodyTextIndent"/>
        <w:rPr>
          <w:bCs/>
          <w:sz w:val="22"/>
          <w:szCs w:val="22"/>
        </w:rPr>
      </w:pPr>
      <w:r w:rsidRPr="007964E0">
        <w:rPr>
          <w:bCs/>
          <w:sz w:val="22"/>
          <w:szCs w:val="22"/>
        </w:rPr>
        <w:t>In conclusion, the results obtained in this study demonstrate the applicability of using flat fuel element models for certain MTR simulation scenarios. These findings contribute to the optimization of simulation methodologies in nuclear research and facilitate more efficient and accurate simulations for future MTR design and analysis.</w:t>
      </w:r>
    </w:p>
    <w:p w14:paraId="4C304CDC" w14:textId="3900EC4C" w:rsidR="00781B6A" w:rsidRPr="00BB7497" w:rsidRDefault="00A73779" w:rsidP="00A73779">
      <w:pPr>
        <w:pStyle w:val="AcknowledgmentsClauseTitle"/>
        <w:jc w:val="left"/>
        <w:rPr>
          <w:rFonts w:ascii="Times New Roman" w:hAnsi="Times New Roman"/>
          <w:sz w:val="22"/>
          <w:szCs w:val="22"/>
        </w:rPr>
      </w:pPr>
      <w:r w:rsidRPr="00BB7497">
        <w:rPr>
          <w:rFonts w:ascii="Times New Roman" w:hAnsi="Times New Roman"/>
          <w:caps w:val="0"/>
          <w:sz w:val="22"/>
          <w:szCs w:val="22"/>
        </w:rPr>
        <w:t>Acknowledgments</w:t>
      </w:r>
    </w:p>
    <w:p w14:paraId="10935B15" w14:textId="77777777" w:rsidR="00A73779" w:rsidRPr="00BB7497" w:rsidRDefault="00A73779" w:rsidP="00A73779">
      <w:pPr>
        <w:pStyle w:val="BodyTextIndent"/>
        <w:ind w:firstLine="0"/>
        <w:rPr>
          <w:sz w:val="22"/>
          <w:szCs w:val="22"/>
        </w:rPr>
      </w:pPr>
    </w:p>
    <w:p w14:paraId="78FBCD6B" w14:textId="7B4A78B8" w:rsidR="00781B6A" w:rsidRPr="00BB7497" w:rsidRDefault="00572047" w:rsidP="00080A08">
      <w:pPr>
        <w:pStyle w:val="BodyTextIndent"/>
        <w:ind w:firstLine="0"/>
        <w:rPr>
          <w:sz w:val="22"/>
          <w:szCs w:val="22"/>
        </w:rPr>
      </w:pPr>
      <w:r w:rsidRPr="00572047">
        <w:rPr>
          <w:sz w:val="22"/>
          <w:szCs w:val="22"/>
        </w:rPr>
        <w:t>The authors extend their heartfelt gratitude to Abdulaleem Bugis for his invaluable support throughout the course of this research. Additionally, the authors wish to acknowledge the Master</w:t>
      </w:r>
      <w:r w:rsidR="00412BFE">
        <w:rPr>
          <w:sz w:val="22"/>
          <w:szCs w:val="22"/>
        </w:rPr>
        <w:t>’s</w:t>
      </w:r>
      <w:r w:rsidRPr="00572047">
        <w:rPr>
          <w:sz w:val="22"/>
          <w:szCs w:val="22"/>
        </w:rPr>
        <w:t xml:space="preserve"> Degree</w:t>
      </w:r>
      <w:r w:rsidR="00412BFE">
        <w:rPr>
          <w:sz w:val="22"/>
          <w:szCs w:val="22"/>
        </w:rPr>
        <w:t xml:space="preserve"> </w:t>
      </w:r>
      <w:r w:rsidRPr="00572047">
        <w:rPr>
          <w:sz w:val="22"/>
          <w:szCs w:val="22"/>
        </w:rPr>
        <w:t xml:space="preserve"> in Nuclear Engineering program at the College of Engineering, King Saud University, as well as the</w:t>
      </w:r>
      <w:r w:rsidR="00412BFE">
        <w:rPr>
          <w:sz w:val="22"/>
          <w:szCs w:val="22"/>
        </w:rPr>
        <w:t xml:space="preserve"> </w:t>
      </w:r>
      <w:r w:rsidR="00412BFE" w:rsidRPr="00572047">
        <w:rPr>
          <w:sz w:val="22"/>
          <w:szCs w:val="22"/>
        </w:rPr>
        <w:t xml:space="preserve">Nuclear Engineering </w:t>
      </w:r>
      <w:r w:rsidR="00412BFE">
        <w:t>program director</w:t>
      </w:r>
      <w:r w:rsidR="00332310">
        <w:rPr>
          <w:sz w:val="22"/>
          <w:szCs w:val="22"/>
        </w:rPr>
        <w:t xml:space="preserve"> </w:t>
      </w:r>
      <w:r w:rsidR="00412BFE" w:rsidRPr="00080A08">
        <w:rPr>
          <w:sz w:val="22"/>
          <w:szCs w:val="22"/>
        </w:rPr>
        <w:t>Dr.</w:t>
      </w:r>
      <w:r w:rsidR="00080A08">
        <w:rPr>
          <w:sz w:val="22"/>
          <w:szCs w:val="22"/>
        </w:rPr>
        <w:t xml:space="preserve"> Essam A. Alammar</w:t>
      </w:r>
      <w:r w:rsidR="00412BFE">
        <w:rPr>
          <w:sz w:val="22"/>
          <w:szCs w:val="22"/>
        </w:rPr>
        <w:t xml:space="preserve">. The authors would ike to express gratitude to the </w:t>
      </w:r>
      <w:r w:rsidRPr="00572047">
        <w:rPr>
          <w:sz w:val="22"/>
          <w:szCs w:val="22"/>
        </w:rPr>
        <w:t xml:space="preserve">generous support from King Abdulaziz City for Science and Technology (KACST) and King Abdullah City for Atomic and Renewable Energy (K.A.CARE). The authors are especially thankful to K.A.CARE Energy Research and Innovation Center at Riyadh in King Saud University for facilitating the execution of simulations on the </w:t>
      </w:r>
      <w:r w:rsidR="00412BFE">
        <w:rPr>
          <w:sz w:val="22"/>
          <w:szCs w:val="22"/>
        </w:rPr>
        <w:t>university workstation</w:t>
      </w:r>
      <w:r w:rsidRPr="00572047">
        <w:rPr>
          <w:sz w:val="22"/>
          <w:szCs w:val="22"/>
        </w:rPr>
        <w:t>.</w:t>
      </w:r>
    </w:p>
    <w:p w14:paraId="47B1ABC0" w14:textId="3FB8B265" w:rsidR="00781B6A" w:rsidRPr="00BB7497" w:rsidRDefault="00A73779" w:rsidP="000B2753">
      <w:pPr>
        <w:pStyle w:val="ReferencesClauseTitle"/>
        <w:jc w:val="center"/>
        <w:rPr>
          <w:rFonts w:ascii="Times New Roman" w:hAnsi="Times New Roman"/>
          <w:sz w:val="22"/>
          <w:szCs w:val="22"/>
        </w:rPr>
      </w:pPr>
      <w:r w:rsidRPr="00BB7497">
        <w:rPr>
          <w:rFonts w:ascii="Times New Roman" w:hAnsi="Times New Roman"/>
          <w:caps w:val="0"/>
          <w:sz w:val="22"/>
          <w:szCs w:val="22"/>
        </w:rPr>
        <w:t>References</w:t>
      </w:r>
    </w:p>
    <w:p w14:paraId="0616C663" w14:textId="77777777" w:rsidR="00781B6A" w:rsidRDefault="00781B6A">
      <w:pPr>
        <w:pStyle w:val="BodyTextIndent"/>
      </w:pPr>
    </w:p>
    <w:p w14:paraId="32C56B14" w14:textId="764F1F95" w:rsidR="00781B6A" w:rsidRPr="007B0A22" w:rsidRDefault="008A4E68" w:rsidP="00080A08">
      <w:pPr>
        <w:pStyle w:val="BodyTextIndent"/>
        <w:numPr>
          <w:ilvl w:val="0"/>
          <w:numId w:val="1"/>
        </w:numPr>
        <w:spacing w:line="200" w:lineRule="exact"/>
      </w:pPr>
      <w:r w:rsidRPr="008A4E68">
        <w:t xml:space="preserve">International Atomic Energy Agency (IAEA). Applications of Research Reactors; IAEA Nuclear </w:t>
      </w:r>
      <w:r w:rsidRPr="008A4E68">
        <w:t>Energy Series No. NP-T-5.3; IAEA: Austria, Vienna, 2014.</w:t>
      </w:r>
    </w:p>
    <w:p w14:paraId="5AA9B10F" w14:textId="77777777" w:rsidR="00781B6A" w:rsidRPr="007B0A22" w:rsidRDefault="00781B6A" w:rsidP="00080A08">
      <w:pPr>
        <w:pStyle w:val="BodyTextIndent"/>
        <w:spacing w:line="200" w:lineRule="exact"/>
        <w:ind w:firstLine="0"/>
      </w:pPr>
    </w:p>
    <w:p w14:paraId="3AFA81A3" w14:textId="73903C57" w:rsidR="00781B6A" w:rsidRPr="007B0A22" w:rsidRDefault="008A4E68" w:rsidP="00080A08">
      <w:pPr>
        <w:pStyle w:val="BodyTextIndent"/>
        <w:numPr>
          <w:ilvl w:val="0"/>
          <w:numId w:val="1"/>
        </w:numPr>
        <w:spacing w:line="200" w:lineRule="exact"/>
      </w:pPr>
      <w:r>
        <w:t xml:space="preserve"> </w:t>
      </w:r>
      <w:r w:rsidRPr="008A4E68">
        <w:t>International Atomic Energy Agency (IAEA). Research Reactors: Purpose and Future; IAEA Reports; IAEA: Austria, Vienna, 2016</w:t>
      </w:r>
    </w:p>
    <w:p w14:paraId="374C275A" w14:textId="77777777" w:rsidR="00781B6A" w:rsidRPr="007B0A22" w:rsidRDefault="00781B6A" w:rsidP="00080A08">
      <w:pPr>
        <w:pStyle w:val="BodyTextIndent"/>
        <w:spacing w:line="200" w:lineRule="exact"/>
        <w:ind w:firstLine="0"/>
      </w:pPr>
    </w:p>
    <w:p w14:paraId="17C7650F" w14:textId="2443F709" w:rsidR="00781B6A" w:rsidRDefault="008A4E68" w:rsidP="00080A08">
      <w:pPr>
        <w:pStyle w:val="BodyTextIndent"/>
        <w:numPr>
          <w:ilvl w:val="0"/>
          <w:numId w:val="1"/>
        </w:numPr>
        <w:spacing w:line="200" w:lineRule="exact"/>
      </w:pPr>
      <w:r w:rsidRPr="008A4E68">
        <w:t>Duderstadt, J.J.; Hamilton, L.J.; Nuclear Reactor Analysis, 1st ed; John Wiley &amp; Sons Ltd.: New York, NY, USA, 1976.</w:t>
      </w:r>
    </w:p>
    <w:p w14:paraId="35E413CD" w14:textId="77777777" w:rsidR="008A4E68" w:rsidRDefault="008A4E68" w:rsidP="00080A08">
      <w:pPr>
        <w:pStyle w:val="ListParagraph"/>
        <w:spacing w:line="200" w:lineRule="exact"/>
      </w:pPr>
    </w:p>
    <w:p w14:paraId="495AA7CC" w14:textId="1C1DE03A" w:rsidR="008A4E68" w:rsidRDefault="008A4E68" w:rsidP="00080A08">
      <w:pPr>
        <w:pStyle w:val="BodyTextIndent"/>
        <w:numPr>
          <w:ilvl w:val="0"/>
          <w:numId w:val="1"/>
        </w:numPr>
        <w:spacing w:line="200" w:lineRule="exact"/>
      </w:pPr>
      <w:r w:rsidRPr="008A4E68">
        <w:t>Seamone, A. Thermal-Hydraulics Feasibility for an Ultra-Compact Nuclear Reactor Core Assembly. In Proceedings of the 2019 SURF Symposium, Reactor Operations and Engineering, 6 August 2019.</w:t>
      </w:r>
    </w:p>
    <w:p w14:paraId="20962F7E" w14:textId="77777777" w:rsidR="008A4E68" w:rsidRDefault="008A4E68" w:rsidP="00080A08">
      <w:pPr>
        <w:pStyle w:val="ListParagraph"/>
        <w:spacing w:line="200" w:lineRule="exact"/>
      </w:pPr>
    </w:p>
    <w:p w14:paraId="21831630" w14:textId="418A3C60" w:rsidR="00F57D3E" w:rsidRDefault="00F57D3E" w:rsidP="00080A08">
      <w:pPr>
        <w:pStyle w:val="BodyTextIndent"/>
        <w:numPr>
          <w:ilvl w:val="0"/>
          <w:numId w:val="1"/>
        </w:numPr>
        <w:spacing w:line="200" w:lineRule="exact"/>
      </w:pPr>
      <w:r>
        <w:t>MacConnachie, E.L.; Novog, D.R. Measurement, simulation, and uncertainty quantification of the neutron flux at the McMaster Nuclear Reactor. Ann. Nucl. Energy 2021, 151, 107879. ISSN 0306-4549.</w:t>
      </w:r>
    </w:p>
    <w:p w14:paraId="185F77C9" w14:textId="77777777" w:rsidR="00F57D3E" w:rsidRDefault="00F57D3E" w:rsidP="00080A08">
      <w:pPr>
        <w:pStyle w:val="BodyTextIndent"/>
        <w:spacing w:line="200" w:lineRule="exact"/>
        <w:ind w:left="360" w:firstLine="0"/>
      </w:pPr>
    </w:p>
    <w:p w14:paraId="2DC2ADE7" w14:textId="6A714591" w:rsidR="008A4E68" w:rsidRDefault="00F57D3E" w:rsidP="00080A08">
      <w:pPr>
        <w:pStyle w:val="BodyTextIndent"/>
        <w:numPr>
          <w:ilvl w:val="0"/>
          <w:numId w:val="1"/>
        </w:numPr>
        <w:spacing w:line="200" w:lineRule="exact"/>
      </w:pPr>
      <w:r>
        <w:t>Alqahtani, M.; Day, S.E.; Buijs, A. OSCAR-4 Code System Comparison and Analysis with a First Order Semi-Empirical Method for Core-Follow Depletion Calculation in McMaster Nuclear Reactor (MNR). CNL Nuclear Review 2019, 9, 73–82.</w:t>
      </w:r>
    </w:p>
    <w:p w14:paraId="1686A8AA" w14:textId="16C854ED" w:rsidR="00FE5C3B" w:rsidRDefault="00FE5C3B" w:rsidP="00080A08">
      <w:pPr>
        <w:pStyle w:val="BodyTextIndent"/>
        <w:spacing w:line="200" w:lineRule="exact"/>
        <w:ind w:firstLine="0"/>
      </w:pPr>
    </w:p>
    <w:p w14:paraId="57BF455C" w14:textId="216D5C11" w:rsidR="008A4E68" w:rsidRDefault="00FE5C3B" w:rsidP="00080A08">
      <w:pPr>
        <w:pStyle w:val="BodyTextIndent"/>
        <w:numPr>
          <w:ilvl w:val="0"/>
          <w:numId w:val="1"/>
        </w:numPr>
        <w:spacing w:line="200" w:lineRule="exact"/>
      </w:pPr>
      <w:r w:rsidRPr="00FE5C3B">
        <w:t xml:space="preserve">Alnahdi, A.H.; Alghamdi, A.A.; Almarshad, A.I. Investigation of the Fuel Shape Impact on the MTR Reactor Parameters Using the OpenMC Code. Processes 2023, 11, 637. </w:t>
      </w:r>
      <w:hyperlink r:id="rId28" w:history="1">
        <w:r w:rsidRPr="00F84BF5">
          <w:rPr>
            <w:rStyle w:val="Hyperlink"/>
          </w:rPr>
          <w:t>https://doi.org/10.3390/pr11020637</w:t>
        </w:r>
      </w:hyperlink>
      <w:r w:rsidRPr="00FE5C3B">
        <w:t>.</w:t>
      </w:r>
    </w:p>
    <w:p w14:paraId="7B71C054" w14:textId="77777777" w:rsidR="00FE5C3B" w:rsidRDefault="00FE5C3B" w:rsidP="00080A08">
      <w:pPr>
        <w:pStyle w:val="BodyTextIndent"/>
        <w:spacing w:line="200" w:lineRule="exact"/>
        <w:ind w:left="360" w:firstLine="0"/>
      </w:pPr>
    </w:p>
    <w:p w14:paraId="7C906AEF" w14:textId="04B557C1" w:rsidR="00FE5C3B" w:rsidRDefault="00FE5C3B" w:rsidP="00080A08">
      <w:pPr>
        <w:pStyle w:val="BodyTextIndent"/>
        <w:numPr>
          <w:ilvl w:val="0"/>
          <w:numId w:val="1"/>
        </w:numPr>
        <w:spacing w:line="200" w:lineRule="exact"/>
      </w:pPr>
      <w:r w:rsidRPr="00FE5C3B">
        <w:t>Phillips Petroleum Company. Fundamentals in the Operation of Nuclear Test Reactors: Volume 2; Materials Testing Reactor Design and Operation; report; Idaho Falls, ID, USA, 1963.</w:t>
      </w:r>
    </w:p>
    <w:p w14:paraId="3BF42CF4" w14:textId="77777777" w:rsidR="00FE5C3B" w:rsidRDefault="00FE5C3B" w:rsidP="00080A08">
      <w:pPr>
        <w:pStyle w:val="BodyTextIndent"/>
        <w:spacing w:line="200" w:lineRule="exact"/>
        <w:ind w:left="360" w:firstLine="0"/>
      </w:pPr>
    </w:p>
    <w:p w14:paraId="737285DE" w14:textId="099295DB" w:rsidR="00FE5C3B" w:rsidRDefault="00FE5C3B" w:rsidP="00080A08">
      <w:pPr>
        <w:pStyle w:val="BodyTextIndent"/>
        <w:numPr>
          <w:ilvl w:val="0"/>
          <w:numId w:val="1"/>
        </w:numPr>
        <w:spacing w:line="200" w:lineRule="exact"/>
      </w:pPr>
      <w:r>
        <w:t>Huffman, J.R.; The Materials Testing Reactor Design; Idaho Operations Office; U.S. Atomic Energy Commission: 1953. [osti].</w:t>
      </w:r>
    </w:p>
    <w:p w14:paraId="0B867868" w14:textId="77777777" w:rsidR="00FE5C3B" w:rsidRDefault="00FE5C3B" w:rsidP="00080A08">
      <w:pPr>
        <w:pStyle w:val="BodyTextIndent"/>
        <w:spacing w:line="200" w:lineRule="exact"/>
        <w:ind w:firstLine="0"/>
      </w:pPr>
    </w:p>
    <w:p w14:paraId="1FE73DDD" w14:textId="578B98D9" w:rsidR="00FE5C3B" w:rsidRDefault="00FE5C3B" w:rsidP="00080A08">
      <w:pPr>
        <w:pStyle w:val="BodyTextIndent"/>
        <w:numPr>
          <w:ilvl w:val="0"/>
          <w:numId w:val="1"/>
        </w:numPr>
        <w:spacing w:line="200" w:lineRule="exact"/>
      </w:pPr>
      <w:r>
        <w:t>World Nuclear Association. Available online: https://world-nuclear.org/information-library/non-power-nuclear-applications/radioisotopes-research/research-reactors.aspx (accessed on 8 November 2022).</w:t>
      </w:r>
    </w:p>
    <w:p w14:paraId="695CC22E" w14:textId="77777777" w:rsidR="00FE5C3B" w:rsidRDefault="00FE5C3B" w:rsidP="00080A08">
      <w:pPr>
        <w:pStyle w:val="ListParagraph"/>
        <w:spacing w:line="200" w:lineRule="exact"/>
      </w:pPr>
    </w:p>
    <w:p w14:paraId="21738FB4" w14:textId="279BFA07" w:rsidR="00FE5C3B" w:rsidRDefault="00FE5C3B" w:rsidP="00080A08">
      <w:pPr>
        <w:pStyle w:val="BodyTextIndent"/>
        <w:numPr>
          <w:ilvl w:val="0"/>
          <w:numId w:val="1"/>
        </w:numPr>
        <w:spacing w:line="200" w:lineRule="exact"/>
      </w:pPr>
      <w:r w:rsidRPr="00FE5C3B">
        <w:t>Romano, P.K.; Horelik, N.E.; Herman, B.R.; Nelson, A.G.; Forget B.; Smith, K. OpenMC: A State-of-the-Art Monte Carlo Code for Research and Devel</w:t>
      </w:r>
      <w:r w:rsidR="000B2753">
        <w:t xml:space="preserve">opment. Ann. Nucl. Energy, Vol </w:t>
      </w:r>
      <w:r w:rsidR="000B2753" w:rsidRPr="00FE5C3B">
        <w:t>82,</w:t>
      </w:r>
      <w:r w:rsidR="000B2753">
        <w:t>p</w:t>
      </w:r>
      <w:r w:rsidR="000B2753" w:rsidRPr="00FE5C3B">
        <w:t xml:space="preserve"> 90–97. ISSN 0306-4549.</w:t>
      </w:r>
      <w:r w:rsidR="000B2753">
        <w:t xml:space="preserve">  2015.</w:t>
      </w:r>
    </w:p>
    <w:p w14:paraId="4136943F" w14:textId="77777777" w:rsidR="000B2753" w:rsidRDefault="000B2753" w:rsidP="00080A08">
      <w:pPr>
        <w:pStyle w:val="ListParagraph"/>
        <w:spacing w:line="200" w:lineRule="exact"/>
      </w:pPr>
    </w:p>
    <w:p w14:paraId="25D39637" w14:textId="4AF2D41D" w:rsidR="000B2753" w:rsidRDefault="000B2753" w:rsidP="00080A08">
      <w:pPr>
        <w:pStyle w:val="BodyTextIndent"/>
        <w:numPr>
          <w:ilvl w:val="0"/>
          <w:numId w:val="1"/>
        </w:numPr>
        <w:spacing w:line="200" w:lineRule="exact"/>
      </w:pPr>
      <w:r w:rsidRPr="000B2753">
        <w:t>Bugis, A.A. Modeling a Nuclear Research Reactor and Radiation Dose Estimation in an Accident Scenario. Ph.D. Thesis, Missouri University of Science and Technology, Rolla, MO, USA, 2020.</w:t>
      </w:r>
    </w:p>
    <w:sectPr w:rsidR="000B2753" w:rsidSect="00D964A7">
      <w:footerReference w:type="default" r:id="rId29"/>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CAF82" w14:textId="77777777" w:rsidR="00057C1D" w:rsidRDefault="00057C1D">
      <w:r>
        <w:separator/>
      </w:r>
    </w:p>
  </w:endnote>
  <w:endnote w:type="continuationSeparator" w:id="0">
    <w:p w14:paraId="690AAC0E" w14:textId="77777777" w:rsidR="00057C1D" w:rsidRDefault="00057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106444"/>
      <w:docPartObj>
        <w:docPartGallery w:val="Page Numbers (Bottom of Page)"/>
        <w:docPartUnique/>
      </w:docPartObj>
    </w:sdtPr>
    <w:sdtEndPr>
      <w:rPr>
        <w:noProof/>
      </w:rPr>
    </w:sdtEndPr>
    <w:sdtContent>
      <w:p w14:paraId="4BAE5E3E" w14:textId="7AC35F5C" w:rsidR="00C94898" w:rsidRDefault="00C94898">
        <w:pPr>
          <w:pStyle w:val="Footer"/>
          <w:jc w:val="right"/>
        </w:pPr>
        <w:r>
          <w:fldChar w:fldCharType="begin"/>
        </w:r>
        <w:r>
          <w:instrText xml:space="preserve"> PAGE   \* MERGEFORMAT </w:instrText>
        </w:r>
        <w:r>
          <w:fldChar w:fldCharType="separate"/>
        </w:r>
        <w:r w:rsidR="003B36BB">
          <w:rPr>
            <w:noProof/>
          </w:rPr>
          <w:t>1</w:t>
        </w:r>
        <w:r>
          <w:rPr>
            <w:noProof/>
          </w:rPr>
          <w:fldChar w:fldCharType="end"/>
        </w:r>
      </w:p>
    </w:sdtContent>
  </w:sdt>
  <w:p w14:paraId="74163B96" w14:textId="78AF2149" w:rsidR="00C94898" w:rsidRDefault="00C9489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799714"/>
      <w:docPartObj>
        <w:docPartGallery w:val="Page Numbers (Bottom of Page)"/>
        <w:docPartUnique/>
      </w:docPartObj>
    </w:sdtPr>
    <w:sdtEndPr>
      <w:rPr>
        <w:noProof/>
      </w:rPr>
    </w:sdtEndPr>
    <w:sdtContent>
      <w:p w14:paraId="00903A77" w14:textId="513E0E9A" w:rsidR="006F13D5" w:rsidRDefault="006F13D5">
        <w:pPr>
          <w:pStyle w:val="Footer"/>
          <w:jc w:val="right"/>
        </w:pPr>
        <w:r>
          <w:fldChar w:fldCharType="begin"/>
        </w:r>
        <w:r>
          <w:instrText xml:space="preserve"> PAGE   \* MERGEFORMAT </w:instrText>
        </w:r>
        <w:r>
          <w:fldChar w:fldCharType="separate"/>
        </w:r>
        <w:r w:rsidR="003B36BB">
          <w:rPr>
            <w:noProof/>
          </w:rPr>
          <w:t>8</w:t>
        </w:r>
        <w:r>
          <w:rPr>
            <w:noProof/>
          </w:rPr>
          <w:fldChar w:fldCharType="end"/>
        </w:r>
      </w:p>
    </w:sdtContent>
  </w:sdt>
  <w:p w14:paraId="4E892AA7" w14:textId="2CF6510D" w:rsidR="00C94898" w:rsidRDefault="00C94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E69D9" w14:textId="77777777" w:rsidR="00057C1D" w:rsidRDefault="00057C1D">
      <w:r>
        <w:separator/>
      </w:r>
    </w:p>
  </w:footnote>
  <w:footnote w:type="continuationSeparator" w:id="0">
    <w:p w14:paraId="5785D6FD" w14:textId="77777777" w:rsidR="00057C1D" w:rsidRDefault="00057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28A31" w14:textId="61B622CC" w:rsidR="00C94898" w:rsidRDefault="00C94898"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Pr>
        <w:rFonts w:ascii="Calibri" w:hAnsi="Calibri" w:cs="Calibri"/>
        <w:spacing w:val="-4"/>
        <w:sz w:val="18"/>
        <w:szCs w:val="22"/>
      </w:rPr>
      <w:t xml:space="preserve">                           </w:t>
    </w:r>
  </w:p>
  <w:p w14:paraId="0963291C" w14:textId="0E206B83" w:rsidR="00C94898" w:rsidRPr="000B12D5" w:rsidRDefault="00C94898"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C94898" w:rsidRPr="000B12D5" w:rsidRDefault="00C94898"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Pr="000B12D5">
      <w:rPr>
        <w:rFonts w:asciiTheme="majorBidi" w:hAnsiTheme="majorBidi" w:cstheme="majorBidi"/>
        <w:spacing w:val="-9"/>
        <w:sz w:val="18"/>
        <w:szCs w:val="22"/>
      </w:rPr>
      <w:t xml:space="preserve"> Nov.</w:t>
    </w:r>
    <w:r w:rsidRPr="000B12D5">
      <w:rPr>
        <w:rFonts w:asciiTheme="majorBidi" w:hAnsiTheme="majorBidi" w:cstheme="majorBidi"/>
        <w:spacing w:val="-6"/>
        <w:sz w:val="18"/>
        <w:szCs w:val="22"/>
      </w:rPr>
      <w:t xml:space="preserve"> </w:t>
    </w:r>
    <w:r w:rsidRPr="000B12D5">
      <w:rPr>
        <w:rFonts w:asciiTheme="majorBidi" w:hAnsiTheme="majorBidi" w:cstheme="majorBidi"/>
        <w:spacing w:val="-3"/>
        <w:sz w:val="18"/>
        <w:szCs w:val="22"/>
      </w:rPr>
      <w:t>2023</w:t>
    </w:r>
    <w:r w:rsidRPr="000B12D5">
      <w:rPr>
        <w:rFonts w:asciiTheme="majorBidi" w:hAnsiTheme="majorBidi" w:cstheme="majorBidi"/>
        <w:spacing w:val="-6"/>
        <w:sz w:val="18"/>
        <w:szCs w:val="22"/>
      </w:rPr>
      <w:t xml:space="preserve"> </w:t>
    </w:r>
    <w:r w:rsidRPr="000B12D5">
      <w:rPr>
        <w:rFonts w:asciiTheme="majorBidi" w:hAnsiTheme="majorBidi" w:cstheme="majorBidi"/>
        <w:spacing w:val="-3"/>
        <w:sz w:val="18"/>
        <w:szCs w:val="22"/>
      </w:rPr>
      <w:t>–</w:t>
    </w:r>
    <w:r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41910A55" w:rsidR="00C94898" w:rsidRPr="000B12D5" w:rsidRDefault="00C94898" w:rsidP="00D45244">
    <w:pPr>
      <w:ind w:right="112"/>
      <w:jc w:val="right"/>
      <w:rPr>
        <w:rFonts w:asciiTheme="majorBidi" w:hAnsiTheme="majorBidi" w:cstheme="majorBidi"/>
        <w:sz w:val="18"/>
        <w:szCs w:val="22"/>
      </w:rPr>
    </w:pPr>
    <w:r w:rsidRPr="000B12D5">
      <w:rPr>
        <w:rFonts w:asciiTheme="majorBidi" w:hAnsiTheme="majorBidi" w:cstheme="majorBidi"/>
        <w:sz w:val="18"/>
        <w:szCs w:val="22"/>
      </w:rPr>
      <w:t xml:space="preserve">Paper </w:t>
    </w:r>
    <w:r w:rsidR="00D45244">
      <w:rPr>
        <w:rFonts w:asciiTheme="majorBidi" w:hAnsiTheme="majorBidi" w:cstheme="majorBidi"/>
        <w:sz w:val="18"/>
        <w:szCs w:val="22"/>
      </w:rPr>
      <w:t>23080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B20E60"/>
    <w:multiLevelType w:val="multilevel"/>
    <w:tmpl w:val="76E2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trackRevisions/>
  <w:defaultTabStop w:val="43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26943"/>
    <w:rsid w:val="00052CFC"/>
    <w:rsid w:val="00057C1D"/>
    <w:rsid w:val="00064E2D"/>
    <w:rsid w:val="00065AB0"/>
    <w:rsid w:val="00080A08"/>
    <w:rsid w:val="000846E7"/>
    <w:rsid w:val="00096EEC"/>
    <w:rsid w:val="000B12D5"/>
    <w:rsid w:val="000B2753"/>
    <w:rsid w:val="000B3F5A"/>
    <w:rsid w:val="000B73A0"/>
    <w:rsid w:val="000C71BD"/>
    <w:rsid w:val="00100D5D"/>
    <w:rsid w:val="00120576"/>
    <w:rsid w:val="0013355E"/>
    <w:rsid w:val="00136502"/>
    <w:rsid w:val="00146533"/>
    <w:rsid w:val="0015418B"/>
    <w:rsid w:val="00155D92"/>
    <w:rsid w:val="00162337"/>
    <w:rsid w:val="00196090"/>
    <w:rsid w:val="001A7F8D"/>
    <w:rsid w:val="001F04AA"/>
    <w:rsid w:val="001F0FB5"/>
    <w:rsid w:val="001F258E"/>
    <w:rsid w:val="002068E6"/>
    <w:rsid w:val="00224AF3"/>
    <w:rsid w:val="00240349"/>
    <w:rsid w:val="00251BF7"/>
    <w:rsid w:val="0026712E"/>
    <w:rsid w:val="002726E2"/>
    <w:rsid w:val="002A4D97"/>
    <w:rsid w:val="002E712E"/>
    <w:rsid w:val="002F06E3"/>
    <w:rsid w:val="00300569"/>
    <w:rsid w:val="00310711"/>
    <w:rsid w:val="00313CCF"/>
    <w:rsid w:val="00326B6B"/>
    <w:rsid w:val="00332310"/>
    <w:rsid w:val="003857DC"/>
    <w:rsid w:val="00385F97"/>
    <w:rsid w:val="003B36BB"/>
    <w:rsid w:val="003F132F"/>
    <w:rsid w:val="00412BFE"/>
    <w:rsid w:val="00422F64"/>
    <w:rsid w:val="00441079"/>
    <w:rsid w:val="004914F2"/>
    <w:rsid w:val="004A3589"/>
    <w:rsid w:val="004C4D75"/>
    <w:rsid w:val="00514AC8"/>
    <w:rsid w:val="00523E22"/>
    <w:rsid w:val="00540244"/>
    <w:rsid w:val="00547F17"/>
    <w:rsid w:val="00572047"/>
    <w:rsid w:val="00573352"/>
    <w:rsid w:val="00597468"/>
    <w:rsid w:val="005B28AB"/>
    <w:rsid w:val="005D37E8"/>
    <w:rsid w:val="00626278"/>
    <w:rsid w:val="006948D8"/>
    <w:rsid w:val="006B0404"/>
    <w:rsid w:val="006B292F"/>
    <w:rsid w:val="006B3B58"/>
    <w:rsid w:val="006F13D5"/>
    <w:rsid w:val="0071315E"/>
    <w:rsid w:val="00757A5E"/>
    <w:rsid w:val="00763FC5"/>
    <w:rsid w:val="00781B6A"/>
    <w:rsid w:val="007964E0"/>
    <w:rsid w:val="007B0A22"/>
    <w:rsid w:val="007B79CB"/>
    <w:rsid w:val="007D4C41"/>
    <w:rsid w:val="008276B4"/>
    <w:rsid w:val="00867316"/>
    <w:rsid w:val="008732A0"/>
    <w:rsid w:val="00890B80"/>
    <w:rsid w:val="00891C89"/>
    <w:rsid w:val="008A4E68"/>
    <w:rsid w:val="00913B5D"/>
    <w:rsid w:val="00914901"/>
    <w:rsid w:val="00961716"/>
    <w:rsid w:val="009B071A"/>
    <w:rsid w:val="009E1A57"/>
    <w:rsid w:val="00A03C8F"/>
    <w:rsid w:val="00A041B0"/>
    <w:rsid w:val="00A0476B"/>
    <w:rsid w:val="00A055BB"/>
    <w:rsid w:val="00A21F18"/>
    <w:rsid w:val="00A54BC9"/>
    <w:rsid w:val="00A643C1"/>
    <w:rsid w:val="00A73779"/>
    <w:rsid w:val="00A7639F"/>
    <w:rsid w:val="00A96F1A"/>
    <w:rsid w:val="00AA47CB"/>
    <w:rsid w:val="00AB041E"/>
    <w:rsid w:val="00AE0172"/>
    <w:rsid w:val="00AE2B8F"/>
    <w:rsid w:val="00B029D3"/>
    <w:rsid w:val="00B069EC"/>
    <w:rsid w:val="00B11866"/>
    <w:rsid w:val="00B22151"/>
    <w:rsid w:val="00B90C92"/>
    <w:rsid w:val="00BA6131"/>
    <w:rsid w:val="00BB3255"/>
    <w:rsid w:val="00BB7497"/>
    <w:rsid w:val="00BE52AD"/>
    <w:rsid w:val="00C027B7"/>
    <w:rsid w:val="00C13B01"/>
    <w:rsid w:val="00C16186"/>
    <w:rsid w:val="00C26700"/>
    <w:rsid w:val="00C322DD"/>
    <w:rsid w:val="00C6456E"/>
    <w:rsid w:val="00C8746C"/>
    <w:rsid w:val="00C94898"/>
    <w:rsid w:val="00CD18F8"/>
    <w:rsid w:val="00CE2B50"/>
    <w:rsid w:val="00D015D4"/>
    <w:rsid w:val="00D112FB"/>
    <w:rsid w:val="00D45244"/>
    <w:rsid w:val="00D532C6"/>
    <w:rsid w:val="00D7141E"/>
    <w:rsid w:val="00D77F91"/>
    <w:rsid w:val="00D85CDB"/>
    <w:rsid w:val="00D964A7"/>
    <w:rsid w:val="00DB67A4"/>
    <w:rsid w:val="00DC1BE2"/>
    <w:rsid w:val="00DE2928"/>
    <w:rsid w:val="00DE5D45"/>
    <w:rsid w:val="00E065A9"/>
    <w:rsid w:val="00E13804"/>
    <w:rsid w:val="00E37DA7"/>
    <w:rsid w:val="00E72B98"/>
    <w:rsid w:val="00E80333"/>
    <w:rsid w:val="00E87866"/>
    <w:rsid w:val="00E93F48"/>
    <w:rsid w:val="00ED6972"/>
    <w:rsid w:val="00EF79D7"/>
    <w:rsid w:val="00F212F3"/>
    <w:rsid w:val="00F34F6E"/>
    <w:rsid w:val="00F52276"/>
    <w:rsid w:val="00F52391"/>
    <w:rsid w:val="00F57D3E"/>
    <w:rsid w:val="00F74408"/>
    <w:rsid w:val="00F90934"/>
    <w:rsid w:val="00FB1A38"/>
    <w:rsid w:val="00FC7857"/>
    <w:rsid w:val="00FD1F94"/>
    <w:rsid w:val="00FE247B"/>
    <w:rsid w:val="00FE5C3B"/>
    <w:rsid w:val="00FF09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4A7"/>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link w:val="BodyTextIndentChar"/>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nhideWhenUsed/>
    <w:rsid w:val="00D532C6"/>
    <w:rPr>
      <w:sz w:val="16"/>
      <w:szCs w:val="16"/>
    </w:rPr>
  </w:style>
  <w:style w:type="paragraph" w:styleId="CommentText">
    <w:name w:val="annotation text"/>
    <w:basedOn w:val="Normal"/>
    <w:link w:val="CommentTextChar"/>
    <w:unhideWhenUsed/>
    <w:rsid w:val="00D532C6"/>
  </w:style>
  <w:style w:type="character" w:customStyle="1" w:styleId="CommentTextChar">
    <w:name w:val="Comment Text Char"/>
    <w:basedOn w:val="DefaultParagraphFont"/>
    <w:link w:val="CommentText"/>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paragraph" w:customStyle="1" w:styleId="MDPI16affiliation">
    <w:name w:val="MDPI_1.6_affiliation"/>
    <w:qFormat/>
    <w:rsid w:val="006B0404"/>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character" w:styleId="Hyperlink">
    <w:name w:val="Hyperlink"/>
    <w:basedOn w:val="DefaultParagraphFont"/>
    <w:uiPriority w:val="99"/>
    <w:unhideWhenUsed/>
    <w:rsid w:val="006B0404"/>
    <w:rPr>
      <w:color w:val="0000FF" w:themeColor="hyperlink"/>
      <w:u w:val="single"/>
    </w:rPr>
  </w:style>
  <w:style w:type="table" w:styleId="TableGrid">
    <w:name w:val="Table Grid"/>
    <w:basedOn w:val="TableNormal"/>
    <w:uiPriority w:val="39"/>
    <w:rsid w:val="00EF79D7"/>
    <w:pPr>
      <w:spacing w:line="260" w:lineRule="atLeast"/>
      <w:jc w:val="both"/>
    </w:pPr>
    <w:rPr>
      <w:rFonts w:ascii="Palatino Linotype" w:eastAsia="SimSun" w:hAnsi="Palatino Linotype"/>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EF79D7"/>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character" w:styleId="PlaceholderText">
    <w:name w:val="Placeholder Text"/>
    <w:basedOn w:val="DefaultParagraphFont"/>
    <w:uiPriority w:val="99"/>
    <w:semiHidden/>
    <w:rsid w:val="008276B4"/>
    <w:rPr>
      <w:color w:val="808080"/>
    </w:rPr>
  </w:style>
  <w:style w:type="character" w:customStyle="1" w:styleId="BodyTextIndentChar">
    <w:name w:val="Body Text Indent Char"/>
    <w:basedOn w:val="DefaultParagraphFont"/>
    <w:link w:val="BodyTextIndent"/>
    <w:semiHidden/>
    <w:rsid w:val="00155D92"/>
    <w:rPr>
      <w:kern w:val="14"/>
    </w:rPr>
  </w:style>
  <w:style w:type="paragraph" w:styleId="ListParagraph">
    <w:name w:val="List Paragraph"/>
    <w:basedOn w:val="Normal"/>
    <w:uiPriority w:val="34"/>
    <w:qFormat/>
    <w:rsid w:val="008A4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4613">
      <w:bodyDiv w:val="1"/>
      <w:marLeft w:val="0"/>
      <w:marRight w:val="0"/>
      <w:marTop w:val="0"/>
      <w:marBottom w:val="0"/>
      <w:divBdr>
        <w:top w:val="none" w:sz="0" w:space="0" w:color="auto"/>
        <w:left w:val="none" w:sz="0" w:space="0" w:color="auto"/>
        <w:bottom w:val="none" w:sz="0" w:space="0" w:color="auto"/>
        <w:right w:val="none" w:sz="0" w:space="0" w:color="auto"/>
      </w:divBdr>
    </w:div>
    <w:div w:id="156306129">
      <w:bodyDiv w:val="1"/>
      <w:marLeft w:val="0"/>
      <w:marRight w:val="0"/>
      <w:marTop w:val="0"/>
      <w:marBottom w:val="0"/>
      <w:divBdr>
        <w:top w:val="none" w:sz="0" w:space="0" w:color="auto"/>
        <w:left w:val="none" w:sz="0" w:space="0" w:color="auto"/>
        <w:bottom w:val="none" w:sz="0" w:space="0" w:color="auto"/>
        <w:right w:val="none" w:sz="0" w:space="0" w:color="auto"/>
      </w:divBdr>
    </w:div>
    <w:div w:id="256518599">
      <w:bodyDiv w:val="1"/>
      <w:marLeft w:val="0"/>
      <w:marRight w:val="0"/>
      <w:marTop w:val="0"/>
      <w:marBottom w:val="0"/>
      <w:divBdr>
        <w:top w:val="none" w:sz="0" w:space="0" w:color="auto"/>
        <w:left w:val="none" w:sz="0" w:space="0" w:color="auto"/>
        <w:bottom w:val="none" w:sz="0" w:space="0" w:color="auto"/>
        <w:right w:val="none" w:sz="0" w:space="0" w:color="auto"/>
      </w:divBdr>
    </w:div>
    <w:div w:id="108876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almarshad1@ksu.edu.sa"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ahmedg@kacst.edu.sa"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442105846@student.ksu.edu.sa"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yperlink" Target="https://doi.org/10.3390/pr11020637"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2.xml><?xml version="1.0" encoding="utf-8"?>
<ds:datastoreItem xmlns:ds="http://schemas.openxmlformats.org/officeDocument/2006/customXml" ds:itemID="{CDCA3108-526D-46CF-BA32-4A4896B40C9D}">
  <ds:schemaRefs>
    <ds:schemaRef ds:uri="http://schemas.microsoft.com/sharepoint/v3/contenttype/forms"/>
  </ds:schemaRefs>
</ds:datastoreItem>
</file>

<file path=customXml/itemProps3.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07DFC8-8919-44BB-84EC-B42D5BB30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3684</Words>
  <Characters>21003</Characters>
  <Application>Microsoft Office Word</Application>
  <DocSecurity>0</DocSecurity>
  <Lines>175</Lines>
  <Paragraphs>49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24638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Alaa Al Nahdi</cp:lastModifiedBy>
  <cp:revision>8</cp:revision>
  <cp:lastPrinted>2023-07-30T11:14:00Z</cp:lastPrinted>
  <dcterms:created xsi:type="dcterms:W3CDTF">2023-07-30T17:25:00Z</dcterms:created>
  <dcterms:modified xsi:type="dcterms:W3CDTF">2023-10-09T17:06:00Z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y fmtid="{D5CDD505-2E9C-101B-9397-08002B2CF9AE}" pid="3" name="MSIP_Label_d9368e3b-824d-4279-b33e-3acf030d6690_Enabled">
    <vt:lpwstr>true</vt:lpwstr>
  </property>
  <property fmtid="{D5CDD505-2E9C-101B-9397-08002B2CF9AE}" pid="4" name="MSIP_Label_d9368e3b-824d-4279-b33e-3acf030d6690_SetDate">
    <vt:lpwstr>2023-07-30T17:24:55Z</vt:lpwstr>
  </property>
  <property fmtid="{D5CDD505-2E9C-101B-9397-08002B2CF9AE}" pid="5" name="MSIP_Label_d9368e3b-824d-4279-b33e-3acf030d6690_Method">
    <vt:lpwstr>Standard</vt:lpwstr>
  </property>
  <property fmtid="{D5CDD505-2E9C-101B-9397-08002B2CF9AE}" pid="6" name="MSIP_Label_d9368e3b-824d-4279-b33e-3acf030d6690_Name">
    <vt:lpwstr>عام</vt:lpwstr>
  </property>
  <property fmtid="{D5CDD505-2E9C-101B-9397-08002B2CF9AE}" pid="7" name="MSIP_Label_d9368e3b-824d-4279-b33e-3acf030d6690_SiteId">
    <vt:lpwstr>a77193a6-cbfc-42e5-ba8f-189e937a07b9</vt:lpwstr>
  </property>
  <property fmtid="{D5CDD505-2E9C-101B-9397-08002B2CF9AE}" pid="8" name="MSIP_Label_d9368e3b-824d-4279-b33e-3acf030d6690_ActionId">
    <vt:lpwstr>84ca1e43-2b5a-4fe7-917c-d4644ecba81a</vt:lpwstr>
  </property>
  <property fmtid="{D5CDD505-2E9C-101B-9397-08002B2CF9AE}" pid="9" name="MSIP_Label_d9368e3b-824d-4279-b33e-3acf030d6690_ContentBits">
    <vt:lpwstr>2</vt:lpwstr>
  </property>
</Properties>
</file>