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CB27B" w14:textId="1C2DBACC" w:rsidR="00A03C8F" w:rsidRPr="00A03C8F" w:rsidRDefault="00346407" w:rsidP="002E750D">
      <w:pPr>
        <w:suppressAutoHyphens w:val="0"/>
        <w:spacing w:before="120"/>
        <w:contextualSpacing/>
        <w:jc w:val="center"/>
        <w:rPr>
          <w:rFonts w:eastAsia="Times New Roman"/>
          <w:b/>
          <w:spacing w:val="-10"/>
          <w:kern w:val="28"/>
          <w:sz w:val="32"/>
          <w:szCs w:val="56"/>
          <w:lang w:val="en-GB"/>
        </w:rPr>
      </w:pPr>
      <w:r>
        <w:rPr>
          <w:rFonts w:eastAsia="Times New Roman"/>
          <w:b/>
          <w:spacing w:val="-10"/>
          <w:kern w:val="28"/>
          <w:sz w:val="32"/>
          <w:szCs w:val="56"/>
          <w:lang w:val="en-GB"/>
        </w:rPr>
        <w:t xml:space="preserve">Radon Exhalation Rates and Dose Assessment from </w:t>
      </w:r>
      <w:r w:rsidR="0035255A">
        <w:rPr>
          <w:rFonts w:eastAsia="Times New Roman"/>
          <w:b/>
          <w:spacing w:val="-10"/>
          <w:kern w:val="28"/>
          <w:sz w:val="32"/>
          <w:szCs w:val="56"/>
          <w:lang w:val="en-GB"/>
        </w:rPr>
        <w:t xml:space="preserve">Some </w:t>
      </w:r>
      <w:r>
        <w:rPr>
          <w:rFonts w:eastAsia="Times New Roman"/>
          <w:b/>
          <w:spacing w:val="-10"/>
          <w:kern w:val="28"/>
          <w:sz w:val="32"/>
          <w:szCs w:val="56"/>
          <w:lang w:val="en-GB"/>
        </w:rPr>
        <w:t>Marble and Granite</w:t>
      </w:r>
      <w:r w:rsidR="00640E32">
        <w:rPr>
          <w:rFonts w:eastAsia="Times New Roman"/>
          <w:b/>
          <w:spacing w:val="-10"/>
          <w:kern w:val="28"/>
          <w:sz w:val="32"/>
          <w:szCs w:val="56"/>
          <w:lang w:val="en-GB"/>
        </w:rPr>
        <w:t xml:space="preserve"> </w:t>
      </w:r>
      <w:r w:rsidR="00640E32" w:rsidRPr="00640E32">
        <w:rPr>
          <w:rFonts w:eastAsia="Times New Roman"/>
          <w:b/>
          <w:spacing w:val="-10"/>
          <w:kern w:val="28"/>
          <w:sz w:val="32"/>
          <w:szCs w:val="56"/>
          <w:lang w:val="en-GB"/>
        </w:rPr>
        <w:t>Used</w:t>
      </w:r>
      <w:r w:rsidR="00640E32">
        <w:rPr>
          <w:rFonts w:eastAsia="Times New Roman"/>
          <w:b/>
          <w:spacing w:val="-10"/>
          <w:kern w:val="28"/>
          <w:sz w:val="32"/>
          <w:szCs w:val="56"/>
          <w:lang w:val="en-GB"/>
        </w:rPr>
        <w:t xml:space="preserve"> </w:t>
      </w:r>
      <w:r w:rsidR="00460E26">
        <w:rPr>
          <w:rFonts w:eastAsia="Times New Roman"/>
          <w:b/>
          <w:spacing w:val="-10"/>
          <w:kern w:val="28"/>
          <w:sz w:val="32"/>
          <w:szCs w:val="56"/>
          <w:lang w:val="en-GB"/>
        </w:rPr>
        <w:t>in Saudi Arabia</w:t>
      </w:r>
    </w:p>
    <w:p w14:paraId="68174F00" w14:textId="77777777" w:rsidR="00781B6A" w:rsidRDefault="00781B6A">
      <w:pPr>
        <w:pStyle w:val="Affiliation"/>
        <w:jc w:val="both"/>
        <w:rPr>
          <w:rFonts w:ascii="Times New Roman" w:hAnsi="Times New Roman"/>
        </w:rPr>
      </w:pPr>
      <w:bookmarkStart w:id="0" w:name="PutAuthorsHere"/>
    </w:p>
    <w:p w14:paraId="613EAEDB" w14:textId="68184C98" w:rsidR="00781B6A" w:rsidRDefault="00B8577F">
      <w:pPr>
        <w:pStyle w:val="Affiliation"/>
        <w:rPr>
          <w:rFonts w:ascii="Times New Roman" w:hAnsi="Times New Roman"/>
        </w:rPr>
      </w:pPr>
      <w:r w:rsidRPr="00B8577F">
        <w:rPr>
          <w:rFonts w:ascii="Times New Roman" w:hAnsi="Times New Roman"/>
        </w:rPr>
        <w:t>Tariq Al-Abdullah</w:t>
      </w:r>
      <w:r>
        <w:rPr>
          <w:rFonts w:ascii="Times New Roman" w:hAnsi="Times New Roman"/>
        </w:rPr>
        <w:t xml:space="preserve"> </w:t>
      </w:r>
      <w:r w:rsidR="00A027ED">
        <w:rPr>
          <w:rFonts w:ascii="Times New Roman" w:hAnsi="Times New Roman"/>
          <w:vertAlign w:val="superscript"/>
        </w:rPr>
        <w:t>1</w:t>
      </w:r>
      <w:r w:rsidRPr="00B8577F">
        <w:rPr>
          <w:rFonts w:ascii="Times New Roman" w:hAnsi="Times New Roman"/>
          <w:vertAlign w:val="superscript"/>
        </w:rPr>
        <w:t xml:space="preserve">, </w:t>
      </w:r>
      <w:r w:rsidR="00A027ED">
        <w:rPr>
          <w:rFonts w:ascii="Times New Roman" w:hAnsi="Times New Roman"/>
          <w:vertAlign w:val="superscript"/>
        </w:rPr>
        <w:t>2</w:t>
      </w:r>
      <w:r w:rsidRPr="00B8577F">
        <w:rPr>
          <w:rFonts w:ascii="Times New Roman" w:hAnsi="Times New Roman"/>
          <w:vertAlign w:val="superscript"/>
        </w:rPr>
        <w:t>, *</w:t>
      </w:r>
      <w:r w:rsidRPr="00B8577F">
        <w:rPr>
          <w:rFonts w:ascii="Times New Roman" w:hAnsi="Times New Roman"/>
        </w:rPr>
        <w:t xml:space="preserve">, Muzahir </w:t>
      </w:r>
      <w:r w:rsidR="00A027ED">
        <w:rPr>
          <w:rFonts w:ascii="Times New Roman" w:hAnsi="Times New Roman"/>
        </w:rPr>
        <w:t xml:space="preserve">Ali </w:t>
      </w:r>
      <w:r w:rsidRPr="00B8577F">
        <w:rPr>
          <w:rFonts w:ascii="Times New Roman" w:hAnsi="Times New Roman"/>
        </w:rPr>
        <w:t>Baloch</w:t>
      </w:r>
      <w:r>
        <w:rPr>
          <w:rFonts w:ascii="Times New Roman" w:hAnsi="Times New Roman"/>
        </w:rPr>
        <w:t xml:space="preserve"> </w:t>
      </w:r>
      <w:r w:rsidR="00A027ED">
        <w:rPr>
          <w:rFonts w:ascii="Times New Roman" w:hAnsi="Times New Roman"/>
          <w:vertAlign w:val="superscript"/>
        </w:rPr>
        <w:t>2</w:t>
      </w:r>
      <w:r w:rsidRPr="00B8577F">
        <w:rPr>
          <w:rFonts w:ascii="Times New Roman" w:hAnsi="Times New Roman"/>
        </w:rPr>
        <w:t xml:space="preserve">, Fatai </w:t>
      </w:r>
      <w:proofErr w:type="spellStart"/>
      <w:r w:rsidRPr="00B8577F">
        <w:rPr>
          <w:rFonts w:ascii="Times New Roman" w:hAnsi="Times New Roman"/>
        </w:rPr>
        <w:t>Liadi</w:t>
      </w:r>
      <w:proofErr w:type="spellEnd"/>
      <w:r>
        <w:rPr>
          <w:rFonts w:ascii="Times New Roman" w:hAnsi="Times New Roman"/>
        </w:rPr>
        <w:t xml:space="preserve"> </w:t>
      </w:r>
      <w:r w:rsidR="00A027ED">
        <w:rPr>
          <w:rFonts w:ascii="Times New Roman" w:hAnsi="Times New Roman"/>
          <w:vertAlign w:val="superscript"/>
        </w:rPr>
        <w:t>1</w:t>
      </w:r>
      <w:r w:rsidRPr="00B8577F">
        <w:rPr>
          <w:rFonts w:ascii="Times New Roman" w:hAnsi="Times New Roman"/>
        </w:rPr>
        <w:t xml:space="preserve">, Mohamed </w:t>
      </w:r>
      <w:proofErr w:type="spellStart"/>
      <w:r w:rsidRPr="00B8577F">
        <w:rPr>
          <w:rFonts w:ascii="Times New Roman" w:hAnsi="Times New Roman"/>
        </w:rPr>
        <w:t>Mitwalli</w:t>
      </w:r>
      <w:proofErr w:type="spellEnd"/>
      <w:r>
        <w:rPr>
          <w:rFonts w:ascii="Times New Roman" w:hAnsi="Times New Roman"/>
        </w:rPr>
        <w:t xml:space="preserve"> </w:t>
      </w:r>
      <w:r w:rsidR="00A027ED">
        <w:rPr>
          <w:rFonts w:ascii="Times New Roman" w:hAnsi="Times New Roman"/>
          <w:vertAlign w:val="superscript"/>
        </w:rPr>
        <w:t>2</w:t>
      </w:r>
      <w:r w:rsidRPr="00B8577F">
        <w:rPr>
          <w:rFonts w:ascii="Times New Roman" w:hAnsi="Times New Roman"/>
        </w:rPr>
        <w:t xml:space="preserve">, </w:t>
      </w:r>
      <w:proofErr w:type="spellStart"/>
      <w:r w:rsidRPr="00B8577F">
        <w:rPr>
          <w:rFonts w:ascii="Times New Roman" w:hAnsi="Times New Roman"/>
        </w:rPr>
        <w:t>Afaque</w:t>
      </w:r>
      <w:proofErr w:type="spellEnd"/>
      <w:r w:rsidRPr="00B8577F">
        <w:rPr>
          <w:rFonts w:ascii="Times New Roman" w:hAnsi="Times New Roman"/>
        </w:rPr>
        <w:t xml:space="preserve"> Shams</w:t>
      </w:r>
      <w:r>
        <w:rPr>
          <w:rFonts w:ascii="Times New Roman" w:hAnsi="Times New Roman"/>
        </w:rPr>
        <w:t xml:space="preserve"> </w:t>
      </w:r>
      <w:r w:rsidR="00A027ED">
        <w:rPr>
          <w:rFonts w:ascii="Times New Roman" w:hAnsi="Times New Roman"/>
          <w:vertAlign w:val="superscript"/>
        </w:rPr>
        <w:t>2</w:t>
      </w:r>
      <w:r w:rsidR="00C434EF">
        <w:rPr>
          <w:rFonts w:ascii="Times New Roman" w:hAnsi="Times New Roman"/>
          <w:vertAlign w:val="superscript"/>
        </w:rPr>
        <w:t>,3</w:t>
      </w:r>
    </w:p>
    <w:p w14:paraId="7FDCC008" w14:textId="3D645ACC" w:rsidR="00A027ED" w:rsidRPr="00C434EF" w:rsidRDefault="00A027ED" w:rsidP="00C434EF">
      <w:pPr>
        <w:pStyle w:val="Heading1"/>
      </w:pPr>
      <w:r w:rsidRPr="00C434EF">
        <w:t>1-Department of Physics, King Fahd University of Petroleum and Mineral, Dhahran 31261, Saudi Arabia</w:t>
      </w:r>
    </w:p>
    <w:p w14:paraId="278B1A2E" w14:textId="2F9F2636" w:rsidR="00A027ED" w:rsidRPr="00C434EF" w:rsidRDefault="00A027ED" w:rsidP="00C434EF">
      <w:pPr>
        <w:pStyle w:val="Heading1"/>
      </w:pPr>
      <w:r w:rsidRPr="00C434EF">
        <w:rPr>
          <w:rFonts w:asciiTheme="majorBidi" w:hAnsiTheme="majorBidi" w:cstheme="majorBidi"/>
        </w:rPr>
        <w:t>2- IRC for Industrial Nuclear Energy,</w:t>
      </w:r>
      <w:r w:rsidRPr="00C434EF">
        <w:t xml:space="preserve"> King Fahd University of Petroleum and Mineral, Dhahran 31261, Saudi Arabia</w:t>
      </w:r>
    </w:p>
    <w:p w14:paraId="24438A04" w14:textId="4DFC1E2C" w:rsidR="00C434EF" w:rsidRPr="00C434EF" w:rsidRDefault="00C434EF" w:rsidP="00C434EF">
      <w:pPr>
        <w:jc w:val="center"/>
        <w:rPr>
          <w:i/>
          <w:iCs/>
        </w:rPr>
      </w:pPr>
      <w:r w:rsidRPr="00C434EF">
        <w:rPr>
          <w:i/>
          <w:iCs/>
        </w:rPr>
        <w:t>3- Department of Mechanical Engineering, King Fahd University of Petroleum and Mineral, Dhahran 31261, Saudi Arabia</w:t>
      </w:r>
    </w:p>
    <w:p w14:paraId="19D4BF22" w14:textId="410C2616" w:rsidR="00781B6A" w:rsidRDefault="00A027ED" w:rsidP="00CC6C37">
      <w:pPr>
        <w:pStyle w:val="Affiliation"/>
        <w:jc w:val="both"/>
      </w:pPr>
      <w:r w:rsidRPr="00B769E6">
        <w:rPr>
          <w:rFonts w:asciiTheme="majorBidi" w:hAnsiTheme="majorBidi" w:cstheme="majorBidi"/>
          <w:i/>
          <w:iCs/>
        </w:rPr>
        <w:t>Email</w:t>
      </w:r>
      <w:r w:rsidR="00C05F14">
        <w:rPr>
          <w:rFonts w:asciiTheme="majorBidi" w:hAnsiTheme="majorBidi" w:cstheme="majorBidi"/>
          <w:i/>
          <w:iCs/>
        </w:rPr>
        <w:t>(s)</w:t>
      </w:r>
      <w:r w:rsidRPr="00B769E6">
        <w:rPr>
          <w:rFonts w:asciiTheme="majorBidi" w:hAnsiTheme="majorBidi" w:cstheme="majorBidi"/>
          <w:i/>
          <w:iCs/>
        </w:rPr>
        <w:t>:</w:t>
      </w:r>
      <w:r>
        <w:rPr>
          <w:i/>
          <w:iCs/>
        </w:rPr>
        <w:t xml:space="preserve"> </w:t>
      </w:r>
      <w:r w:rsidR="00900255" w:rsidRPr="00900255">
        <w:rPr>
          <w:i/>
          <w:iCs/>
        </w:rPr>
        <w:t>tariq.alabdullah@kfupm.edu.sa</w:t>
      </w:r>
    </w:p>
    <w:p w14:paraId="11B547DB" w14:textId="77777777" w:rsidR="00781B6A" w:rsidRDefault="00781B6A">
      <w:pPr>
        <w:pStyle w:val="Affiliation"/>
      </w:pPr>
    </w:p>
    <w:bookmarkEnd w:id="0"/>
    <w:p w14:paraId="7292617D" w14:textId="77777777" w:rsidR="00781B6A" w:rsidRPr="00BB7497" w:rsidRDefault="00781B6A">
      <w:pPr>
        <w:pStyle w:val="Header"/>
        <w:rPr>
          <w:sz w:val="22"/>
          <w:szCs w:val="22"/>
        </w:rPr>
        <w:sectPr w:rsidR="00781B6A" w:rsidRPr="00BB749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080" w:bottom="1440" w:left="1080" w:header="432" w:footer="720" w:gutter="0"/>
          <w:cols w:space="720"/>
        </w:sectPr>
      </w:pPr>
    </w:p>
    <w:p w14:paraId="74B2FCCE" w14:textId="7E3F3D05" w:rsidR="00781B6A" w:rsidRPr="00BB7497" w:rsidRDefault="00781B6A" w:rsidP="00E93F48">
      <w:pPr>
        <w:pStyle w:val="AbstractClauseTitle"/>
        <w:jc w:val="left"/>
        <w:rPr>
          <w:rFonts w:ascii="Times New Roman" w:hAnsi="Times New Roman"/>
          <w:sz w:val="22"/>
          <w:szCs w:val="22"/>
        </w:rPr>
      </w:pPr>
      <w:r w:rsidRPr="00BB7497">
        <w:rPr>
          <w:rFonts w:ascii="Times New Roman" w:hAnsi="Times New Roman"/>
          <w:sz w:val="22"/>
          <w:szCs w:val="22"/>
        </w:rPr>
        <w:t xml:space="preserve">I. </w:t>
      </w:r>
      <w:r w:rsidR="00E93F48" w:rsidRPr="00BB7497">
        <w:rPr>
          <w:rFonts w:ascii="Times New Roman" w:hAnsi="Times New Roman"/>
          <w:caps w:val="0"/>
          <w:sz w:val="22"/>
          <w:szCs w:val="22"/>
        </w:rPr>
        <w:t>Introduction</w:t>
      </w:r>
    </w:p>
    <w:p w14:paraId="5C4893C8" w14:textId="43D5C9FD" w:rsidR="00781B6A" w:rsidRPr="00A027ED" w:rsidRDefault="005477F6" w:rsidP="00F83A93">
      <w:pPr>
        <w:rPr>
          <w:sz w:val="22"/>
          <w:szCs w:val="22"/>
        </w:rPr>
      </w:pPr>
      <w:r w:rsidRPr="00A027ED">
        <w:rPr>
          <w:sz w:val="22"/>
          <w:szCs w:val="22"/>
        </w:rPr>
        <w:t xml:space="preserve">The </w:t>
      </w:r>
      <w:proofErr w:type="gramStart"/>
      <w:r w:rsidRPr="00A027ED">
        <w:rPr>
          <w:sz w:val="22"/>
          <w:szCs w:val="22"/>
        </w:rPr>
        <w:t>general public</w:t>
      </w:r>
      <w:proofErr w:type="gramEnd"/>
      <w:r w:rsidRPr="00A027ED">
        <w:rPr>
          <w:sz w:val="22"/>
          <w:szCs w:val="22"/>
        </w:rPr>
        <w:t xml:space="preserve"> receives more than 50% of the radiation exposure from radon and its byproducts which are identified as </w:t>
      </w:r>
      <w:r w:rsidRPr="00803E09">
        <w:rPr>
          <w:sz w:val="22"/>
          <w:szCs w:val="22"/>
        </w:rPr>
        <w:t>leading cause of lung cancer</w:t>
      </w:r>
      <w:r w:rsidRPr="00A027ED">
        <w:rPr>
          <w:sz w:val="22"/>
          <w:szCs w:val="22"/>
        </w:rPr>
        <w:t xml:space="preserve"> [1]. </w:t>
      </w:r>
      <w:r w:rsidRPr="00803E09">
        <w:rPr>
          <w:sz w:val="22"/>
          <w:szCs w:val="22"/>
        </w:rPr>
        <w:t>Besides soil and rocks,</w:t>
      </w:r>
      <w:r w:rsidRPr="00A027ED">
        <w:rPr>
          <w:sz w:val="22"/>
          <w:szCs w:val="22"/>
        </w:rPr>
        <w:t xml:space="preserve"> </w:t>
      </w:r>
      <w:r w:rsidRPr="00803E09">
        <w:rPr>
          <w:sz w:val="22"/>
          <w:szCs w:val="22"/>
        </w:rPr>
        <w:t>building materials</w:t>
      </w:r>
      <w:r w:rsidRPr="00A027ED">
        <w:rPr>
          <w:sz w:val="22"/>
          <w:szCs w:val="22"/>
        </w:rPr>
        <w:t xml:space="preserve"> </w:t>
      </w:r>
      <w:r w:rsidRPr="00E0442C">
        <w:rPr>
          <w:sz w:val="22"/>
          <w:szCs w:val="22"/>
        </w:rPr>
        <w:t xml:space="preserve">can also be a </w:t>
      </w:r>
      <w:r w:rsidRPr="00A027ED">
        <w:rPr>
          <w:sz w:val="22"/>
          <w:szCs w:val="22"/>
        </w:rPr>
        <w:t xml:space="preserve">significant </w:t>
      </w:r>
      <w:r w:rsidRPr="00E0442C">
        <w:rPr>
          <w:sz w:val="22"/>
          <w:szCs w:val="22"/>
        </w:rPr>
        <w:t>source of radon in indoor air</w:t>
      </w:r>
      <w:r w:rsidRPr="00A027ED">
        <w:rPr>
          <w:sz w:val="22"/>
          <w:szCs w:val="22"/>
        </w:rPr>
        <w:t xml:space="preserve">, </w:t>
      </w:r>
      <w:r w:rsidRPr="00803E09">
        <w:rPr>
          <w:sz w:val="22"/>
          <w:szCs w:val="22"/>
        </w:rPr>
        <w:t>leading to considerable gamma ray exposure</w:t>
      </w:r>
      <w:r w:rsidRPr="00A027ED">
        <w:rPr>
          <w:sz w:val="22"/>
          <w:szCs w:val="22"/>
        </w:rPr>
        <w:t xml:space="preserve"> and </w:t>
      </w:r>
      <w:r w:rsidRPr="00803E09">
        <w:rPr>
          <w:sz w:val="22"/>
          <w:szCs w:val="22"/>
        </w:rPr>
        <w:t>increasing indoor radon levels</w:t>
      </w:r>
      <w:r w:rsidRPr="00A027ED">
        <w:rPr>
          <w:sz w:val="22"/>
          <w:szCs w:val="22"/>
        </w:rPr>
        <w:t xml:space="preserve">. The high levels of radioactivity in imported granite, ceramic and marble materials </w:t>
      </w:r>
      <w:r w:rsidRPr="00803E09">
        <w:rPr>
          <w:sz w:val="22"/>
          <w:szCs w:val="22"/>
        </w:rPr>
        <w:t xml:space="preserve">can pose numerous health risks </w:t>
      </w:r>
      <w:r w:rsidRPr="00A027ED">
        <w:rPr>
          <w:sz w:val="22"/>
          <w:szCs w:val="22"/>
        </w:rPr>
        <w:t xml:space="preserve">that require direct measurement of radon content on </w:t>
      </w:r>
      <w:r w:rsidRPr="00803E09">
        <w:rPr>
          <w:sz w:val="22"/>
          <w:szCs w:val="22"/>
        </w:rPr>
        <w:t>surfaces of these materials</w:t>
      </w:r>
      <w:r w:rsidRPr="00A027ED">
        <w:rPr>
          <w:sz w:val="22"/>
          <w:szCs w:val="22"/>
        </w:rPr>
        <w:t xml:space="preserve"> [</w:t>
      </w:r>
      <w:r w:rsidR="007379A6">
        <w:rPr>
          <w:sz w:val="22"/>
          <w:szCs w:val="22"/>
        </w:rPr>
        <w:t>2</w:t>
      </w:r>
      <w:r w:rsidRPr="00A027ED">
        <w:rPr>
          <w:sz w:val="22"/>
          <w:szCs w:val="22"/>
        </w:rPr>
        <w:t xml:space="preserve">]. </w:t>
      </w:r>
      <w:r w:rsidRPr="00803E09">
        <w:rPr>
          <w:sz w:val="22"/>
          <w:szCs w:val="22"/>
        </w:rPr>
        <w:t xml:space="preserve">Consequently, this </w:t>
      </w:r>
      <w:r w:rsidRPr="00A027ED">
        <w:rPr>
          <w:sz w:val="22"/>
          <w:szCs w:val="22"/>
        </w:rPr>
        <w:t>study</w:t>
      </w:r>
      <w:r w:rsidRPr="00803E09">
        <w:rPr>
          <w:sz w:val="22"/>
          <w:szCs w:val="22"/>
        </w:rPr>
        <w:t xml:space="preserve"> employed a short-term measurement method to assess radon exhalation rates and evaluate the rad</w:t>
      </w:r>
      <w:r w:rsidRPr="00A027ED">
        <w:rPr>
          <w:sz w:val="22"/>
          <w:szCs w:val="22"/>
        </w:rPr>
        <w:t>on effective</w:t>
      </w:r>
      <w:r w:rsidRPr="00803E09">
        <w:rPr>
          <w:sz w:val="22"/>
          <w:szCs w:val="22"/>
        </w:rPr>
        <w:t xml:space="preserve"> dose from marble and granite samples.</w:t>
      </w:r>
    </w:p>
    <w:p w14:paraId="675A48A1" w14:textId="1A034CF8" w:rsidR="00781B6A" w:rsidRPr="00BB7497" w:rsidRDefault="00781B6A" w:rsidP="00E93F48">
      <w:pPr>
        <w:pStyle w:val="AbstractClauseTitle"/>
        <w:jc w:val="left"/>
        <w:rPr>
          <w:rFonts w:ascii="Times New Roman" w:hAnsi="Times New Roman"/>
          <w:sz w:val="22"/>
          <w:szCs w:val="22"/>
        </w:rPr>
      </w:pPr>
      <w:r w:rsidRPr="00BB7497">
        <w:rPr>
          <w:rFonts w:ascii="Times New Roman" w:hAnsi="Times New Roman"/>
          <w:sz w:val="22"/>
          <w:szCs w:val="22"/>
        </w:rPr>
        <w:t xml:space="preserve">II. </w:t>
      </w:r>
      <w:r w:rsidR="00EC3B48">
        <w:rPr>
          <w:rFonts w:ascii="Times New Roman" w:hAnsi="Times New Roman"/>
          <w:caps w:val="0"/>
          <w:sz w:val="22"/>
          <w:szCs w:val="22"/>
        </w:rPr>
        <w:t>Methodology</w:t>
      </w:r>
    </w:p>
    <w:p w14:paraId="5A9C6040" w14:textId="0E1442C4" w:rsidR="00CE2A3B" w:rsidRPr="00341CE3" w:rsidRDefault="00EC3B48" w:rsidP="00CE2A3B">
      <w:pPr>
        <w:rPr>
          <w:iCs/>
          <w:color w:val="000000" w:themeColor="text1"/>
          <w:sz w:val="22"/>
          <w:szCs w:val="22"/>
        </w:rPr>
      </w:pPr>
      <w:r w:rsidRPr="00A027ED">
        <w:rPr>
          <w:color w:val="000000" w:themeColor="text1"/>
          <w:sz w:val="22"/>
          <w:szCs w:val="22"/>
        </w:rPr>
        <w:t>The different types of marble (Spanish (S1), Omani (S2), and Turkish (S3)) and granite (Indian (S4), Saudi (S5), and Chinese (S6)) are collected from the local market in Saudi Arabia for building structures</w:t>
      </w:r>
      <w:r w:rsidR="00AF0EDF">
        <w:rPr>
          <w:color w:val="000000" w:themeColor="text1"/>
          <w:sz w:val="22"/>
          <w:szCs w:val="22"/>
        </w:rPr>
        <w:t xml:space="preserve">. </w:t>
      </w:r>
      <w:proofErr w:type="gramStart"/>
      <w:r w:rsidR="00F136A2" w:rsidRPr="00A027ED">
        <w:rPr>
          <w:iCs/>
          <w:color w:val="000000" w:themeColor="text1"/>
          <w:sz w:val="22"/>
          <w:szCs w:val="22"/>
        </w:rPr>
        <w:t>All of</w:t>
      </w:r>
      <w:proofErr w:type="gramEnd"/>
      <w:r w:rsidR="00F136A2" w:rsidRPr="00A027ED">
        <w:rPr>
          <w:iCs/>
          <w:color w:val="000000" w:themeColor="text1"/>
          <w:sz w:val="22"/>
          <w:szCs w:val="22"/>
        </w:rPr>
        <w:t xml:space="preserve"> the samples</w:t>
      </w:r>
      <w:r w:rsidR="00A14E8E">
        <w:rPr>
          <w:iCs/>
          <w:color w:val="000000" w:themeColor="text1"/>
          <w:sz w:val="22"/>
          <w:szCs w:val="22"/>
        </w:rPr>
        <w:t xml:space="preserve"> (</w:t>
      </w:r>
      <w:r w:rsidR="00F136A2" w:rsidRPr="00A027ED">
        <w:rPr>
          <w:iCs/>
          <w:color w:val="000000" w:themeColor="text1"/>
          <w:sz w:val="22"/>
          <w:szCs w:val="22"/>
        </w:rPr>
        <w:t>20 mm thickness</w:t>
      </w:r>
      <w:r w:rsidR="00A14E8E">
        <w:rPr>
          <w:iCs/>
          <w:color w:val="000000" w:themeColor="text1"/>
          <w:sz w:val="22"/>
          <w:szCs w:val="22"/>
        </w:rPr>
        <w:t>)</w:t>
      </w:r>
      <w:r w:rsidR="00F136A2" w:rsidRPr="00A027ED">
        <w:rPr>
          <w:iCs/>
          <w:color w:val="000000" w:themeColor="text1"/>
          <w:sz w:val="22"/>
          <w:szCs w:val="22"/>
        </w:rPr>
        <w:t>, which ranged in mass from 0.7 to 0.9 kg, were dried in an oven set to 105°C for 24 hours to remove moisture.</w:t>
      </w:r>
      <w:r w:rsidR="00CE2A3B">
        <w:rPr>
          <w:iCs/>
          <w:color w:val="000000" w:themeColor="text1"/>
          <w:sz w:val="22"/>
          <w:szCs w:val="22"/>
        </w:rPr>
        <w:t xml:space="preserve"> </w:t>
      </w:r>
      <w:r w:rsidR="00CE2A3B" w:rsidRPr="00341CE3">
        <w:rPr>
          <w:iCs/>
          <w:color w:val="000000" w:themeColor="text1"/>
          <w:sz w:val="22"/>
          <w:szCs w:val="22"/>
        </w:rPr>
        <w:t>Fig. 1 shows the various marble and granite tile specimens.</w:t>
      </w:r>
    </w:p>
    <w:p w14:paraId="3C256D6A" w14:textId="77777777" w:rsidR="00CE2A3B" w:rsidRPr="00341CE3" w:rsidRDefault="00CE2A3B" w:rsidP="00CE2A3B">
      <w:pPr>
        <w:tabs>
          <w:tab w:val="left" w:pos="900"/>
        </w:tabs>
        <w:spacing w:before="120" w:after="120"/>
        <w:jc w:val="center"/>
        <w:outlineLvl w:val="4"/>
        <w:rPr>
          <w:color w:val="000000" w:themeColor="text1"/>
          <w:sz w:val="22"/>
          <w:szCs w:val="22"/>
        </w:rPr>
      </w:pPr>
      <w:r w:rsidRPr="00341CE3">
        <w:rPr>
          <w:noProof/>
          <w:sz w:val="22"/>
          <w:szCs w:val="22"/>
        </w:rPr>
        <w:drawing>
          <wp:inline distT="0" distB="0" distL="0" distR="0" wp14:anchorId="72E535B2" wp14:editId="4CA22B0A">
            <wp:extent cx="2987040" cy="891540"/>
            <wp:effectExtent l="0" t="0" r="3810" b="3810"/>
            <wp:docPr id="720801123" name="Picture 720801123" descr="A group of different colors of mar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different colors of marble&#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8541" b="34340"/>
                    <a:stretch/>
                  </pic:blipFill>
                  <pic:spPr bwMode="auto">
                    <a:xfrm>
                      <a:off x="0" y="0"/>
                      <a:ext cx="3006064" cy="897218"/>
                    </a:xfrm>
                    <a:prstGeom prst="rect">
                      <a:avLst/>
                    </a:prstGeom>
                    <a:noFill/>
                    <a:ln>
                      <a:noFill/>
                    </a:ln>
                    <a:extLst>
                      <a:ext uri="{53640926-AAD7-44D8-BBD7-CCE9431645EC}">
                        <a14:shadowObscured xmlns:a14="http://schemas.microsoft.com/office/drawing/2010/main"/>
                      </a:ext>
                    </a:extLst>
                  </pic:spPr>
                </pic:pic>
              </a:graphicData>
            </a:graphic>
          </wp:inline>
        </w:drawing>
      </w:r>
    </w:p>
    <w:p w14:paraId="02E34025" w14:textId="7549419A" w:rsidR="00CE2A3B" w:rsidRPr="00341CE3" w:rsidRDefault="00CE2A3B" w:rsidP="00CE2A3B">
      <w:pPr>
        <w:jc w:val="center"/>
      </w:pPr>
      <w:r w:rsidRPr="00341CE3">
        <w:rPr>
          <w:b/>
          <w:bCs/>
          <w:color w:val="000000" w:themeColor="text1"/>
        </w:rPr>
        <w:t>Fig</w:t>
      </w:r>
      <w:r w:rsidR="005B2FA1">
        <w:rPr>
          <w:b/>
          <w:bCs/>
          <w:color w:val="000000" w:themeColor="text1"/>
        </w:rPr>
        <w:t>.</w:t>
      </w:r>
      <w:r w:rsidRPr="00341CE3">
        <w:rPr>
          <w:b/>
          <w:bCs/>
          <w:color w:val="000000" w:themeColor="text1"/>
        </w:rPr>
        <w:t xml:space="preserve"> 1</w:t>
      </w:r>
      <w:r w:rsidR="005B2FA1">
        <w:rPr>
          <w:b/>
          <w:bCs/>
          <w:color w:val="000000" w:themeColor="text1"/>
        </w:rPr>
        <w:t>.</w:t>
      </w:r>
      <w:r w:rsidRPr="00341CE3">
        <w:rPr>
          <w:color w:val="000000" w:themeColor="text1"/>
        </w:rPr>
        <w:t xml:space="preserve"> Marble and granite tiles specimens.</w:t>
      </w:r>
    </w:p>
    <w:p w14:paraId="5BE01300" w14:textId="513FFC43" w:rsidR="00A95D7A" w:rsidRPr="00A027ED" w:rsidRDefault="00F92A87" w:rsidP="008467C5">
      <w:pPr>
        <w:pStyle w:val="BodyTextIndent"/>
        <w:ind w:firstLine="0"/>
        <w:rPr>
          <w:sz w:val="22"/>
          <w:szCs w:val="22"/>
        </w:rPr>
      </w:pPr>
      <w:r w:rsidRPr="00A027ED">
        <w:rPr>
          <w:sz w:val="22"/>
          <w:szCs w:val="22"/>
        </w:rPr>
        <w:t>The experimental apparatus</w:t>
      </w:r>
      <w:r w:rsidR="006C4FA0">
        <w:rPr>
          <w:sz w:val="22"/>
          <w:szCs w:val="22"/>
        </w:rPr>
        <w:t xml:space="preserve"> (see Fig. 2)</w:t>
      </w:r>
      <w:r w:rsidRPr="00A027ED">
        <w:rPr>
          <w:sz w:val="22"/>
          <w:szCs w:val="22"/>
        </w:rPr>
        <w:t xml:space="preserve"> consisted of a stainless-steel cylindrical container (51.4 L) with a removable gas-tight lid that was linked in a closed loop</w:t>
      </w:r>
      <w:r w:rsidR="006F7117" w:rsidRPr="00A027ED">
        <w:rPr>
          <w:sz w:val="22"/>
          <w:szCs w:val="22"/>
        </w:rPr>
        <w:t xml:space="preserve"> with CaSO</w:t>
      </w:r>
      <w:r w:rsidR="00A41E4F" w:rsidRPr="00A41E4F">
        <w:rPr>
          <w:sz w:val="22"/>
          <w:szCs w:val="22"/>
          <w:vertAlign w:val="subscript"/>
        </w:rPr>
        <w:t>4</w:t>
      </w:r>
      <w:r w:rsidR="006F7117" w:rsidRPr="00A027ED">
        <w:rPr>
          <w:sz w:val="22"/>
          <w:szCs w:val="22"/>
        </w:rPr>
        <w:t xml:space="preserve"> desiccant</w:t>
      </w:r>
      <w:r w:rsidRPr="00A027ED">
        <w:rPr>
          <w:sz w:val="22"/>
          <w:szCs w:val="22"/>
        </w:rPr>
        <w:t xml:space="preserve"> to a RAD7 detector for the measurement of radon exhalation.</w:t>
      </w:r>
      <w:r w:rsidR="00A95D7A" w:rsidRPr="00A027ED">
        <w:rPr>
          <w:sz w:val="22"/>
          <w:szCs w:val="22"/>
        </w:rPr>
        <w:t xml:space="preserve"> The amount of radon in the </w:t>
      </w:r>
      <w:r w:rsidR="00AF0EDF">
        <w:rPr>
          <w:sz w:val="22"/>
          <w:szCs w:val="22"/>
        </w:rPr>
        <w:t>container</w:t>
      </w:r>
      <w:r w:rsidR="00A95D7A" w:rsidRPr="00A027ED">
        <w:rPr>
          <w:sz w:val="22"/>
          <w:szCs w:val="22"/>
        </w:rPr>
        <w:t xml:space="preserve"> was monitored every hour for 24 hours at a flow rate of 0.8 to 1.9 L/min.</w:t>
      </w:r>
      <w:r w:rsidR="001039CB" w:rsidRPr="00A027ED">
        <w:rPr>
          <w:sz w:val="22"/>
          <w:szCs w:val="22"/>
        </w:rPr>
        <w:t xml:space="preserve"> </w:t>
      </w:r>
      <w:r w:rsidR="008467C5" w:rsidRPr="00A027ED">
        <w:rPr>
          <w:sz w:val="22"/>
          <w:szCs w:val="22"/>
        </w:rPr>
        <w:t>Based on slope</w:t>
      </w:r>
      <w:r w:rsidR="00C45E75" w:rsidRPr="00A027ED">
        <w:rPr>
          <w:sz w:val="22"/>
          <w:szCs w:val="22"/>
        </w:rPr>
        <w:t xml:space="preserve"> </w:t>
      </w:r>
      <w:r w:rsidR="008467C5" w:rsidRPr="00A027ED">
        <w:rPr>
          <w:sz w:val="22"/>
          <w:szCs w:val="22"/>
        </w:rPr>
        <w:t>fitting method, t</w:t>
      </w:r>
      <w:r w:rsidR="00A95D7A" w:rsidRPr="00A027ED">
        <w:rPr>
          <w:sz w:val="22"/>
          <w:szCs w:val="22"/>
        </w:rPr>
        <w:t>he radon surface exhalation rate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vertAlign w:val="subscript"/>
              </w:rPr>
              <m:t>S</m:t>
            </m:r>
          </m:sub>
        </m:sSub>
      </m:oMath>
      <w:r w:rsidR="00A95D7A" w:rsidRPr="00A027ED">
        <w:rPr>
          <w:sz w:val="22"/>
          <w:szCs w:val="22"/>
        </w:rPr>
        <w:t>)</w:t>
      </w:r>
      <w:r w:rsidR="007A3C95">
        <w:rPr>
          <w:sz w:val="22"/>
          <w:szCs w:val="22"/>
        </w:rPr>
        <w:t xml:space="preserve"> and</w:t>
      </w:r>
      <w:r w:rsidR="00A95D7A" w:rsidRPr="00A027ED">
        <w:rPr>
          <w:sz w:val="22"/>
          <w:szCs w:val="22"/>
        </w:rPr>
        <w:t xml:space="preserve"> radon mass exhalation rate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vertAlign w:val="subscript"/>
              </w:rPr>
              <m:t>M</m:t>
            </m:r>
          </m:sub>
        </m:sSub>
      </m:oMath>
      <w:r w:rsidR="00A95D7A" w:rsidRPr="00A027ED">
        <w:rPr>
          <w:sz w:val="22"/>
          <w:szCs w:val="22"/>
        </w:rPr>
        <w:t xml:space="preserve">) </w:t>
      </w:r>
      <w:r w:rsidR="008467C5" w:rsidRPr="00A027ED">
        <w:rPr>
          <w:sz w:val="22"/>
          <w:szCs w:val="22"/>
        </w:rPr>
        <w:t>were</w:t>
      </w:r>
      <w:r w:rsidR="00A95D7A" w:rsidRPr="00A027ED">
        <w:rPr>
          <w:sz w:val="22"/>
          <w:szCs w:val="22"/>
        </w:rPr>
        <w:t xml:space="preserve"> calculated using the following equations.</w:t>
      </w:r>
    </w:p>
    <w:p w14:paraId="3E45D2AC" w14:textId="1F0500C0" w:rsidR="00A95D7A" w:rsidRPr="00550F3D" w:rsidRDefault="00000000" w:rsidP="008467C5">
      <w:pPr>
        <w:rPr>
          <w:b/>
          <w:bCs/>
          <w:sz w:val="22"/>
          <w:szCs w:val="22"/>
        </w:rPr>
      </w:pPr>
      <m:oMath>
        <m:sSub>
          <m:sSubPr>
            <m:ctrlPr>
              <w:rPr>
                <w:rFonts w:ascii="Cambria Math" w:hAnsi="Cambria Math"/>
                <w:b/>
                <w:bCs/>
                <w:i/>
                <w:sz w:val="22"/>
                <w:szCs w:val="22"/>
              </w:rPr>
            </m:ctrlPr>
          </m:sSubPr>
          <m:e>
            <m:r>
              <m:rPr>
                <m:sty m:val="bi"/>
              </m:rPr>
              <w:rPr>
                <w:rFonts w:ascii="Cambria Math" w:hAnsi="Cambria Math"/>
                <w:sz w:val="22"/>
                <w:szCs w:val="22"/>
              </w:rPr>
              <m:t>E</m:t>
            </m:r>
          </m:e>
          <m:sub>
            <m:r>
              <m:rPr>
                <m:sty m:val="bi"/>
              </m:rPr>
              <w:rPr>
                <w:rFonts w:ascii="Cambria Math" w:hAnsi="Cambria Math"/>
                <w:sz w:val="22"/>
                <w:szCs w:val="22"/>
              </w:rPr>
              <m:t>S</m:t>
            </m:r>
          </m:sub>
        </m:sSub>
        <m:r>
          <m:rPr>
            <m:sty m:val="bi"/>
          </m:rPr>
          <w:rPr>
            <w:rFonts w:ascii="Cambria Math" w:hAnsi="Cambria Math"/>
            <w:sz w:val="22"/>
            <w:szCs w:val="22"/>
          </w:rPr>
          <m:t xml:space="preserve">(Bq </m:t>
        </m:r>
        <m:sSup>
          <m:sSupPr>
            <m:ctrlPr>
              <w:rPr>
                <w:rFonts w:ascii="Cambria Math" w:hAnsi="Cambria Math"/>
                <w:b/>
                <w:bCs/>
                <w:i/>
                <w:sz w:val="22"/>
                <w:szCs w:val="22"/>
              </w:rPr>
            </m:ctrlPr>
          </m:sSupPr>
          <m:e>
            <m:r>
              <m:rPr>
                <m:sty m:val="bi"/>
              </m:rPr>
              <w:rPr>
                <w:rFonts w:ascii="Cambria Math" w:hAnsi="Cambria Math"/>
                <w:sz w:val="22"/>
                <w:szCs w:val="22"/>
              </w:rPr>
              <m:t>m</m:t>
            </m:r>
          </m:e>
          <m:sup>
            <m:r>
              <m:rPr>
                <m:sty m:val="bi"/>
              </m:rPr>
              <w:rPr>
                <w:rFonts w:ascii="Cambria Math" w:hAnsi="Cambria Math"/>
                <w:sz w:val="22"/>
                <w:szCs w:val="22"/>
              </w:rPr>
              <m:t>-2</m:t>
            </m:r>
          </m:sup>
        </m:sSup>
        <m:sSup>
          <m:sSupPr>
            <m:ctrlPr>
              <w:rPr>
                <w:rFonts w:ascii="Cambria Math" w:hAnsi="Cambria Math"/>
                <w:b/>
                <w:bCs/>
                <w:i/>
                <w:sz w:val="22"/>
                <w:szCs w:val="22"/>
              </w:rPr>
            </m:ctrlPr>
          </m:sSupPr>
          <m:e>
            <m:r>
              <m:rPr>
                <m:sty m:val="bi"/>
              </m:rPr>
              <w:rPr>
                <w:rFonts w:ascii="Cambria Math" w:hAnsi="Cambria Math"/>
                <w:sz w:val="22"/>
                <w:szCs w:val="22"/>
              </w:rPr>
              <m:t>h</m:t>
            </m:r>
          </m:e>
          <m:sup>
            <m:r>
              <m:rPr>
                <m:sty m:val="bi"/>
              </m:rPr>
              <w:rPr>
                <w:rFonts w:ascii="Cambria Math" w:hAnsi="Cambria Math"/>
                <w:sz w:val="22"/>
                <w:szCs w:val="22"/>
              </w:rPr>
              <m:t>-1</m:t>
            </m:r>
          </m:sup>
        </m:sSup>
        <m:r>
          <m:rPr>
            <m:sty m:val="bi"/>
          </m:rPr>
          <w:rPr>
            <w:rFonts w:ascii="Cambria Math" w:hAnsi="Cambria Math"/>
            <w:sz w:val="22"/>
            <w:szCs w:val="22"/>
          </w:rPr>
          <m:t xml:space="preserve">)= </m:t>
        </m:r>
        <m:f>
          <m:fPr>
            <m:ctrlPr>
              <w:rPr>
                <w:rFonts w:ascii="Cambria Math" w:hAnsi="Cambria Math"/>
                <w:b/>
                <w:bCs/>
                <w:i/>
                <w:sz w:val="22"/>
                <w:szCs w:val="22"/>
              </w:rPr>
            </m:ctrlPr>
          </m:fPr>
          <m:num>
            <m:d>
              <m:dPr>
                <m:ctrlPr>
                  <w:rPr>
                    <w:rFonts w:ascii="Cambria Math" w:hAnsi="Cambria Math"/>
                    <w:b/>
                    <w:bCs/>
                    <w:i/>
                    <w:sz w:val="22"/>
                    <w:szCs w:val="22"/>
                  </w:rPr>
                </m:ctrlPr>
              </m:dPr>
              <m:e>
                <m:r>
                  <m:rPr>
                    <m:sty m:val="bi"/>
                  </m:rPr>
                  <w:rPr>
                    <w:rFonts w:ascii="Cambria Math" w:hAnsi="Cambria Math"/>
                    <w:sz w:val="22"/>
                    <w:szCs w:val="22"/>
                  </w:rPr>
                  <m:t xml:space="preserve">m + </m:t>
                </m:r>
                <m:sSub>
                  <m:sSubPr>
                    <m:ctrlPr>
                      <w:rPr>
                        <w:rFonts w:ascii="Cambria Math" w:hAnsi="Cambria Math"/>
                        <w:b/>
                        <w:bCs/>
                        <w:i/>
                        <w:sz w:val="22"/>
                        <w:szCs w:val="22"/>
                      </w:rPr>
                    </m:ctrlPr>
                  </m:sSubPr>
                  <m:e>
                    <m:r>
                      <m:rPr>
                        <m:sty m:val="b"/>
                      </m:rPr>
                      <w:rPr>
                        <w:rFonts w:ascii="Cambria Math" w:hAnsi="Cambria Math"/>
                        <w:sz w:val="22"/>
                        <w:szCs w:val="22"/>
                      </w:rPr>
                      <m:t>λ</m:t>
                    </m:r>
                  </m:e>
                  <m:sub>
                    <m:r>
                      <m:rPr>
                        <m:sty m:val="bi"/>
                      </m:rPr>
                      <w:rPr>
                        <w:rFonts w:ascii="Cambria Math" w:hAnsi="Cambria Math"/>
                        <w:sz w:val="22"/>
                        <w:szCs w:val="22"/>
                      </w:rPr>
                      <m:t>Rn-222</m:t>
                    </m:r>
                  </m:sub>
                </m:sSub>
                <m:sSub>
                  <m:sSubPr>
                    <m:ctrlPr>
                      <w:rPr>
                        <w:rFonts w:ascii="Cambria Math" w:hAnsi="Cambria Math"/>
                        <w:b/>
                        <w:bCs/>
                        <w:i/>
                        <w:sz w:val="22"/>
                        <w:szCs w:val="22"/>
                      </w:rPr>
                    </m:ctrlPr>
                  </m:sSubPr>
                  <m:e>
                    <m:r>
                      <m:rPr>
                        <m:sty m:val="bi"/>
                      </m:rPr>
                      <w:rPr>
                        <w:rFonts w:ascii="Cambria Math" w:hAnsi="Cambria Math"/>
                        <w:sz w:val="22"/>
                        <w:szCs w:val="22"/>
                      </w:rPr>
                      <m:t>C</m:t>
                    </m:r>
                  </m:e>
                  <m:sub>
                    <m:r>
                      <m:rPr>
                        <m:sty m:val="bi"/>
                      </m:rPr>
                      <w:rPr>
                        <w:rFonts w:ascii="Cambria Math" w:hAnsi="Cambria Math"/>
                        <w:sz w:val="22"/>
                        <w:szCs w:val="22"/>
                      </w:rPr>
                      <m:t>o</m:t>
                    </m:r>
                  </m:sub>
                </m:sSub>
              </m:e>
            </m:d>
            <m:r>
              <m:rPr>
                <m:sty m:val="bi"/>
              </m:rPr>
              <w:rPr>
                <w:rFonts w:ascii="Cambria Math" w:hAnsi="Cambria Math"/>
                <w:sz w:val="22"/>
                <w:szCs w:val="22"/>
              </w:rPr>
              <m:t>V</m:t>
            </m:r>
          </m:num>
          <m:den>
            <m:sSub>
              <m:sSubPr>
                <m:ctrlPr>
                  <w:rPr>
                    <w:rFonts w:ascii="Cambria Math" w:hAnsi="Cambria Math"/>
                    <w:b/>
                    <w:bCs/>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S</m:t>
                </m:r>
              </m:sub>
            </m:sSub>
          </m:den>
        </m:f>
      </m:oMath>
      <w:r w:rsidR="00A95D7A" w:rsidRPr="00550F3D">
        <w:rPr>
          <w:rFonts w:eastAsiaTheme="minorEastAsia"/>
          <w:b/>
          <w:bCs/>
          <w:sz w:val="22"/>
          <w:szCs w:val="22"/>
        </w:rPr>
        <w:t xml:space="preserve"> </w:t>
      </w:r>
      <w:r w:rsidR="00A95D7A" w:rsidRPr="00550F3D">
        <w:rPr>
          <w:rFonts w:eastAsiaTheme="minorEastAsia"/>
          <w:b/>
          <w:bCs/>
          <w:sz w:val="22"/>
          <w:szCs w:val="22"/>
        </w:rPr>
        <w:tab/>
        <w:t>(1)</w:t>
      </w:r>
    </w:p>
    <w:p w14:paraId="17AFEB00" w14:textId="62F65418" w:rsidR="00A95D7A" w:rsidRPr="00550F3D" w:rsidRDefault="00000000" w:rsidP="008467C5">
      <w:pPr>
        <w:rPr>
          <w:rFonts w:eastAsiaTheme="minorEastAsia"/>
          <w:b/>
          <w:bCs/>
          <w:sz w:val="22"/>
          <w:szCs w:val="22"/>
        </w:rPr>
      </w:pPr>
      <m:oMath>
        <m:sSub>
          <m:sSubPr>
            <m:ctrlPr>
              <w:rPr>
                <w:rFonts w:ascii="Cambria Math" w:hAnsi="Cambria Math"/>
                <w:b/>
                <w:bCs/>
                <w:i/>
                <w:sz w:val="22"/>
                <w:szCs w:val="22"/>
              </w:rPr>
            </m:ctrlPr>
          </m:sSubPr>
          <m:e>
            <m:r>
              <m:rPr>
                <m:sty m:val="bi"/>
              </m:rPr>
              <w:rPr>
                <w:rFonts w:ascii="Cambria Math" w:hAnsi="Cambria Math"/>
                <w:sz w:val="22"/>
                <w:szCs w:val="22"/>
              </w:rPr>
              <m:t>E</m:t>
            </m:r>
          </m:e>
          <m:sub>
            <m:r>
              <m:rPr>
                <m:sty m:val="bi"/>
              </m:rPr>
              <w:rPr>
                <w:rFonts w:ascii="Cambria Math" w:hAnsi="Cambria Math"/>
                <w:sz w:val="22"/>
                <w:szCs w:val="22"/>
              </w:rPr>
              <m:t>M</m:t>
            </m:r>
          </m:sub>
        </m:sSub>
        <m:r>
          <m:rPr>
            <m:sty m:val="bi"/>
          </m:rPr>
          <w:rPr>
            <w:rFonts w:ascii="Cambria Math" w:hAnsi="Cambria Math"/>
            <w:sz w:val="22"/>
            <w:szCs w:val="22"/>
          </w:rPr>
          <m:t xml:space="preserve">(Bq </m:t>
        </m:r>
        <m:sSup>
          <m:sSupPr>
            <m:ctrlPr>
              <w:rPr>
                <w:rFonts w:ascii="Cambria Math" w:hAnsi="Cambria Math"/>
                <w:b/>
                <w:bCs/>
                <w:i/>
                <w:sz w:val="22"/>
                <w:szCs w:val="22"/>
              </w:rPr>
            </m:ctrlPr>
          </m:sSupPr>
          <m:e>
            <m:r>
              <m:rPr>
                <m:sty m:val="bi"/>
              </m:rPr>
              <w:rPr>
                <w:rFonts w:ascii="Cambria Math" w:hAnsi="Cambria Math"/>
                <w:sz w:val="22"/>
                <w:szCs w:val="22"/>
              </w:rPr>
              <m:t>kg</m:t>
            </m:r>
          </m:e>
          <m:sup>
            <m:r>
              <m:rPr>
                <m:sty m:val="bi"/>
              </m:rPr>
              <w:rPr>
                <w:rFonts w:ascii="Cambria Math" w:hAnsi="Cambria Math"/>
                <w:sz w:val="22"/>
                <w:szCs w:val="22"/>
              </w:rPr>
              <m:t>-1</m:t>
            </m:r>
          </m:sup>
        </m:sSup>
        <m:sSup>
          <m:sSupPr>
            <m:ctrlPr>
              <w:rPr>
                <w:rFonts w:ascii="Cambria Math" w:hAnsi="Cambria Math"/>
                <w:b/>
                <w:bCs/>
                <w:i/>
                <w:sz w:val="22"/>
                <w:szCs w:val="22"/>
              </w:rPr>
            </m:ctrlPr>
          </m:sSupPr>
          <m:e>
            <m:r>
              <m:rPr>
                <m:sty m:val="bi"/>
              </m:rPr>
              <w:rPr>
                <w:rFonts w:ascii="Cambria Math" w:hAnsi="Cambria Math"/>
                <w:sz w:val="22"/>
                <w:szCs w:val="22"/>
              </w:rPr>
              <m:t>h</m:t>
            </m:r>
          </m:e>
          <m:sup>
            <m:r>
              <m:rPr>
                <m:sty m:val="bi"/>
              </m:rPr>
              <w:rPr>
                <w:rFonts w:ascii="Cambria Math" w:hAnsi="Cambria Math"/>
                <w:sz w:val="22"/>
                <w:szCs w:val="22"/>
              </w:rPr>
              <m:t>-1</m:t>
            </m:r>
          </m:sup>
        </m:sSup>
        <m:r>
          <m:rPr>
            <m:sty m:val="bi"/>
          </m:rPr>
          <w:rPr>
            <w:rFonts w:ascii="Cambria Math" w:hAnsi="Cambria Math"/>
            <w:sz w:val="22"/>
            <w:szCs w:val="22"/>
          </w:rPr>
          <m:t xml:space="preserve">)= </m:t>
        </m:r>
        <m:f>
          <m:fPr>
            <m:ctrlPr>
              <w:rPr>
                <w:rFonts w:ascii="Cambria Math" w:hAnsi="Cambria Math"/>
                <w:b/>
                <w:bCs/>
                <w:i/>
                <w:sz w:val="22"/>
                <w:szCs w:val="22"/>
              </w:rPr>
            </m:ctrlPr>
          </m:fPr>
          <m:num>
            <m:d>
              <m:dPr>
                <m:ctrlPr>
                  <w:rPr>
                    <w:rFonts w:ascii="Cambria Math" w:hAnsi="Cambria Math"/>
                    <w:b/>
                    <w:bCs/>
                    <w:i/>
                    <w:sz w:val="22"/>
                    <w:szCs w:val="22"/>
                  </w:rPr>
                </m:ctrlPr>
              </m:dPr>
              <m:e>
                <m:r>
                  <m:rPr>
                    <m:sty m:val="bi"/>
                  </m:rPr>
                  <w:rPr>
                    <w:rFonts w:ascii="Cambria Math" w:hAnsi="Cambria Math"/>
                    <w:sz w:val="22"/>
                    <w:szCs w:val="22"/>
                  </w:rPr>
                  <m:t xml:space="preserve">m + </m:t>
                </m:r>
                <m:sSub>
                  <m:sSubPr>
                    <m:ctrlPr>
                      <w:rPr>
                        <w:rFonts w:ascii="Cambria Math" w:hAnsi="Cambria Math"/>
                        <w:b/>
                        <w:bCs/>
                        <w:i/>
                        <w:sz w:val="22"/>
                        <w:szCs w:val="22"/>
                      </w:rPr>
                    </m:ctrlPr>
                  </m:sSubPr>
                  <m:e>
                    <m:r>
                      <m:rPr>
                        <m:sty m:val="b"/>
                      </m:rPr>
                      <w:rPr>
                        <w:rFonts w:ascii="Cambria Math" w:hAnsi="Cambria Math"/>
                        <w:sz w:val="22"/>
                        <w:szCs w:val="22"/>
                      </w:rPr>
                      <m:t>λ</m:t>
                    </m:r>
                  </m:e>
                  <m:sub>
                    <m:r>
                      <m:rPr>
                        <m:sty m:val="bi"/>
                      </m:rPr>
                      <w:rPr>
                        <w:rFonts w:ascii="Cambria Math" w:hAnsi="Cambria Math"/>
                        <w:sz w:val="22"/>
                        <w:szCs w:val="22"/>
                      </w:rPr>
                      <m:t>Rn-222</m:t>
                    </m:r>
                  </m:sub>
                </m:sSub>
                <m:sSub>
                  <m:sSubPr>
                    <m:ctrlPr>
                      <w:rPr>
                        <w:rFonts w:ascii="Cambria Math" w:hAnsi="Cambria Math"/>
                        <w:b/>
                        <w:bCs/>
                        <w:i/>
                        <w:sz w:val="22"/>
                        <w:szCs w:val="22"/>
                      </w:rPr>
                    </m:ctrlPr>
                  </m:sSubPr>
                  <m:e>
                    <m:r>
                      <m:rPr>
                        <m:sty m:val="bi"/>
                      </m:rPr>
                      <w:rPr>
                        <w:rFonts w:ascii="Cambria Math" w:hAnsi="Cambria Math"/>
                        <w:sz w:val="22"/>
                        <w:szCs w:val="22"/>
                      </w:rPr>
                      <m:t>C</m:t>
                    </m:r>
                  </m:e>
                  <m:sub>
                    <m:r>
                      <m:rPr>
                        <m:sty m:val="bi"/>
                      </m:rPr>
                      <w:rPr>
                        <w:rFonts w:ascii="Cambria Math" w:hAnsi="Cambria Math"/>
                        <w:sz w:val="22"/>
                        <w:szCs w:val="22"/>
                      </w:rPr>
                      <m:t>o</m:t>
                    </m:r>
                  </m:sub>
                </m:sSub>
              </m:e>
            </m:d>
            <m:r>
              <m:rPr>
                <m:sty m:val="bi"/>
              </m:rPr>
              <w:rPr>
                <w:rFonts w:ascii="Cambria Math" w:hAnsi="Cambria Math"/>
                <w:sz w:val="22"/>
                <w:szCs w:val="22"/>
              </w:rPr>
              <m:t>V</m:t>
            </m:r>
          </m:num>
          <m:den>
            <m:sSub>
              <m:sSubPr>
                <m:ctrlPr>
                  <w:rPr>
                    <w:rFonts w:ascii="Cambria Math" w:hAnsi="Cambria Math"/>
                    <w:b/>
                    <w:bCs/>
                    <w:i/>
                    <w:sz w:val="22"/>
                    <w:szCs w:val="22"/>
                  </w:rPr>
                </m:ctrlPr>
              </m:sSubPr>
              <m:e>
                <m:r>
                  <m:rPr>
                    <m:sty m:val="bi"/>
                  </m:rPr>
                  <w:rPr>
                    <w:rFonts w:ascii="Cambria Math" w:hAnsi="Cambria Math"/>
                    <w:sz w:val="22"/>
                    <w:szCs w:val="22"/>
                  </w:rPr>
                  <m:t>M</m:t>
                </m:r>
              </m:e>
              <m:sub>
                <m:r>
                  <m:rPr>
                    <m:sty m:val="bi"/>
                  </m:rPr>
                  <w:rPr>
                    <w:rFonts w:ascii="Cambria Math" w:hAnsi="Cambria Math"/>
                    <w:sz w:val="22"/>
                    <w:szCs w:val="22"/>
                  </w:rPr>
                  <m:t>S</m:t>
                </m:r>
              </m:sub>
            </m:sSub>
          </m:den>
        </m:f>
      </m:oMath>
      <w:r w:rsidR="00A95D7A" w:rsidRPr="00550F3D">
        <w:rPr>
          <w:rFonts w:eastAsiaTheme="minorEastAsia"/>
          <w:b/>
          <w:bCs/>
          <w:sz w:val="22"/>
          <w:szCs w:val="22"/>
        </w:rPr>
        <w:t xml:space="preserve"> </w:t>
      </w:r>
      <w:r w:rsidR="00A95D7A" w:rsidRPr="00550F3D">
        <w:rPr>
          <w:rFonts w:eastAsiaTheme="minorEastAsia"/>
          <w:b/>
          <w:bCs/>
          <w:sz w:val="22"/>
          <w:szCs w:val="22"/>
        </w:rPr>
        <w:tab/>
        <w:t>(</w:t>
      </w:r>
      <w:r w:rsidR="008467C5" w:rsidRPr="00550F3D">
        <w:rPr>
          <w:rFonts w:eastAsiaTheme="minorEastAsia"/>
          <w:b/>
          <w:bCs/>
          <w:sz w:val="22"/>
          <w:szCs w:val="22"/>
        </w:rPr>
        <w:t>2</w:t>
      </w:r>
      <w:r w:rsidR="00A95D7A" w:rsidRPr="00550F3D">
        <w:rPr>
          <w:rFonts w:eastAsiaTheme="minorEastAsia"/>
          <w:b/>
          <w:bCs/>
          <w:sz w:val="22"/>
          <w:szCs w:val="22"/>
        </w:rPr>
        <w:t>)</w:t>
      </w:r>
    </w:p>
    <w:p w14:paraId="184B29AA" w14:textId="6E9AB079" w:rsidR="007A3C95" w:rsidRPr="003E5E17" w:rsidRDefault="00A95D7A" w:rsidP="008467C5">
      <w:pPr>
        <w:rPr>
          <w:sz w:val="22"/>
          <w:szCs w:val="22"/>
        </w:rPr>
      </w:pPr>
      <w:r w:rsidRPr="00E1565E">
        <w:rPr>
          <w:sz w:val="22"/>
          <w:szCs w:val="22"/>
        </w:rPr>
        <w:t xml:space="preserve">Where, </w:t>
      </w:r>
      <w:r w:rsidR="00F609A2" w:rsidRPr="00E1565E">
        <w:rPr>
          <w:sz w:val="22"/>
          <w:szCs w:val="22"/>
        </w:rPr>
        <w:t>m (Bq m</w:t>
      </w:r>
      <w:r w:rsidR="00F609A2" w:rsidRPr="00E1565E">
        <w:rPr>
          <w:sz w:val="22"/>
          <w:szCs w:val="22"/>
          <w:vertAlign w:val="superscript"/>
        </w:rPr>
        <w:t>−3</w:t>
      </w:r>
      <w:r w:rsidR="00F609A2" w:rsidRPr="00E1565E">
        <w:rPr>
          <w:sz w:val="22"/>
          <w:szCs w:val="22"/>
        </w:rPr>
        <w:t xml:space="preserve"> h</w:t>
      </w:r>
      <w:r w:rsidR="00F609A2" w:rsidRPr="00E1565E">
        <w:rPr>
          <w:sz w:val="22"/>
          <w:szCs w:val="22"/>
          <w:vertAlign w:val="superscript"/>
        </w:rPr>
        <w:t>−1</w:t>
      </w:r>
      <w:r w:rsidR="00F609A2" w:rsidRPr="00E1565E">
        <w:rPr>
          <w:sz w:val="22"/>
          <w:szCs w:val="22"/>
        </w:rPr>
        <w:t>) is the initial slope of elevated radon concentration</w:t>
      </w:r>
      <w:r w:rsidR="00BB2FAB" w:rsidRPr="00E1565E">
        <w:rPr>
          <w:sz w:val="22"/>
          <w:szCs w:val="22"/>
        </w:rPr>
        <w:t xml:space="preserve"> (see Fig. 3)</w:t>
      </w:r>
      <w:r w:rsidR="00F609A2" w:rsidRPr="00E1565E">
        <w:rPr>
          <w:sz w:val="22"/>
          <w:szCs w:val="22"/>
        </w:rPr>
        <w:t xml:space="preserve"> in </w:t>
      </w:r>
      <w:r w:rsidR="00166523" w:rsidRPr="00E1565E">
        <w:rPr>
          <w:sz w:val="22"/>
          <w:szCs w:val="22"/>
        </w:rPr>
        <w:t xml:space="preserve">short period of </w:t>
      </w:r>
      <w:r w:rsidR="00F609A2" w:rsidRPr="00E1565E">
        <w:rPr>
          <w:sz w:val="22"/>
          <w:szCs w:val="22"/>
        </w:rPr>
        <w:t>time (24 h)</w:t>
      </w:r>
      <w:r w:rsidR="00703FAA" w:rsidRPr="00E1565E">
        <w:rPr>
          <w:sz w:val="22"/>
          <w:szCs w:val="22"/>
        </w:rPr>
        <w:t>,</w:t>
      </w:r>
      <w:r w:rsidR="00D55949" w:rsidRPr="00E1565E">
        <w:rPr>
          <w:sz w:val="22"/>
          <w:szCs w:val="22"/>
        </w:rPr>
        <w:t xml:space="preserve"> C</w:t>
      </w:r>
      <w:r w:rsidR="00D55949" w:rsidRPr="00E1565E">
        <w:rPr>
          <w:sz w:val="22"/>
          <w:szCs w:val="22"/>
          <w:vertAlign w:val="subscript"/>
        </w:rPr>
        <w:t>o</w:t>
      </w:r>
      <w:r w:rsidR="00D55949" w:rsidRPr="00E1565E">
        <w:rPr>
          <w:sz w:val="22"/>
          <w:szCs w:val="22"/>
        </w:rPr>
        <w:t xml:space="preserve"> (Bqm</w:t>
      </w:r>
      <w:r w:rsidR="00D55949" w:rsidRPr="00E1565E">
        <w:rPr>
          <w:sz w:val="22"/>
          <w:szCs w:val="22"/>
          <w:vertAlign w:val="superscript"/>
        </w:rPr>
        <w:t>-3</w:t>
      </w:r>
      <w:r w:rsidR="00D55949" w:rsidRPr="00E1565E">
        <w:rPr>
          <w:sz w:val="22"/>
          <w:szCs w:val="22"/>
        </w:rPr>
        <w:t>) is initial radon concentration at t = 0</w:t>
      </w:r>
      <w:r w:rsidR="00703FAA" w:rsidRPr="00E1565E">
        <w:rPr>
          <w:sz w:val="22"/>
          <w:szCs w:val="22"/>
        </w:rPr>
        <w:t xml:space="preserve"> and V</w:t>
      </w:r>
      <w:r w:rsidR="00617A44">
        <w:rPr>
          <w:sz w:val="22"/>
          <w:szCs w:val="22"/>
        </w:rPr>
        <w:t xml:space="preserve"> (m</w:t>
      </w:r>
      <w:r w:rsidR="00617A44" w:rsidRPr="00617A44">
        <w:rPr>
          <w:sz w:val="22"/>
          <w:szCs w:val="22"/>
          <w:vertAlign w:val="superscript"/>
        </w:rPr>
        <w:t>3</w:t>
      </w:r>
      <w:r w:rsidR="00617A44">
        <w:rPr>
          <w:sz w:val="22"/>
          <w:szCs w:val="22"/>
        </w:rPr>
        <w:t>)</w:t>
      </w:r>
      <w:r w:rsidR="00703FAA" w:rsidRPr="00E1565E">
        <w:rPr>
          <w:sz w:val="22"/>
          <w:szCs w:val="22"/>
        </w:rPr>
        <w:t xml:space="preserve"> is total volume of analytical system</w:t>
      </w:r>
      <w:r w:rsidR="00F609A2" w:rsidRPr="00E1565E">
        <w:rPr>
          <w:sz w:val="22"/>
          <w:szCs w:val="22"/>
        </w:rPr>
        <w:t xml:space="preserve">. </w:t>
      </w:r>
      <w:r w:rsidRPr="00E1565E">
        <w:rPr>
          <w:sz w:val="22"/>
          <w:szCs w:val="22"/>
        </w:rPr>
        <w:t>A</w:t>
      </w:r>
      <w:r w:rsidRPr="00E1565E">
        <w:rPr>
          <w:sz w:val="22"/>
          <w:szCs w:val="22"/>
          <w:vertAlign w:val="subscript"/>
        </w:rPr>
        <w:t>S</w:t>
      </w:r>
      <w:r w:rsidR="000F7F8B" w:rsidRPr="00E1565E">
        <w:rPr>
          <w:sz w:val="22"/>
          <w:szCs w:val="22"/>
        </w:rPr>
        <w:t xml:space="preserve"> and</w:t>
      </w:r>
      <w:r w:rsidRPr="00E1565E">
        <w:rPr>
          <w:sz w:val="22"/>
          <w:szCs w:val="22"/>
        </w:rPr>
        <w:t xml:space="preserve"> M</w:t>
      </w:r>
      <w:r w:rsidRPr="00E1565E">
        <w:rPr>
          <w:sz w:val="22"/>
          <w:szCs w:val="22"/>
          <w:vertAlign w:val="subscript"/>
        </w:rPr>
        <w:t>S</w:t>
      </w:r>
      <w:r w:rsidRPr="00E1565E">
        <w:rPr>
          <w:sz w:val="22"/>
          <w:szCs w:val="22"/>
        </w:rPr>
        <w:t xml:space="preserve"> are</w:t>
      </w:r>
      <w:r w:rsidRPr="00A027ED">
        <w:rPr>
          <w:sz w:val="22"/>
          <w:szCs w:val="22"/>
        </w:rPr>
        <w:t xml:space="preserve"> the surface area</w:t>
      </w:r>
      <w:r w:rsidR="00887A73">
        <w:rPr>
          <w:sz w:val="22"/>
          <w:szCs w:val="22"/>
        </w:rPr>
        <w:t xml:space="preserve"> (m</w:t>
      </w:r>
      <w:r w:rsidR="00887A73" w:rsidRPr="00887A73">
        <w:rPr>
          <w:sz w:val="22"/>
          <w:szCs w:val="22"/>
          <w:vertAlign w:val="superscript"/>
        </w:rPr>
        <w:t>2</w:t>
      </w:r>
      <w:r w:rsidR="00887A73">
        <w:rPr>
          <w:sz w:val="22"/>
          <w:szCs w:val="22"/>
        </w:rPr>
        <w:t>)</w:t>
      </w:r>
      <w:r w:rsidRPr="00A027ED">
        <w:rPr>
          <w:sz w:val="22"/>
          <w:szCs w:val="22"/>
        </w:rPr>
        <w:t xml:space="preserve"> and mass</w:t>
      </w:r>
      <w:r w:rsidR="00887A73">
        <w:rPr>
          <w:sz w:val="22"/>
          <w:szCs w:val="22"/>
        </w:rPr>
        <w:t xml:space="preserve"> (kg)</w:t>
      </w:r>
      <w:r w:rsidRPr="00A027ED">
        <w:rPr>
          <w:sz w:val="22"/>
          <w:szCs w:val="22"/>
        </w:rPr>
        <w:t xml:space="preserve"> of the sample, respectively.</w:t>
      </w:r>
    </w:p>
    <w:p w14:paraId="4B7CC75D" w14:textId="6509D88F" w:rsidR="007A3C95" w:rsidRPr="003E5E17" w:rsidRDefault="007A3C95" w:rsidP="008467C5">
      <w:pPr>
        <w:rPr>
          <w:color w:val="000000" w:themeColor="text1"/>
          <w:sz w:val="22"/>
          <w:szCs w:val="22"/>
        </w:rPr>
      </w:pPr>
      <w:r w:rsidRPr="003E5E17">
        <w:rPr>
          <w:color w:val="000000" w:themeColor="text1"/>
          <w:sz w:val="22"/>
          <w:szCs w:val="22"/>
        </w:rPr>
        <w:t>The indoor radon concentration (C</w:t>
      </w:r>
      <w:r w:rsidRPr="003E5E17">
        <w:rPr>
          <w:color w:val="000000" w:themeColor="text1"/>
          <w:sz w:val="22"/>
          <w:szCs w:val="22"/>
          <w:vertAlign w:val="subscript"/>
        </w:rPr>
        <w:t>in</w:t>
      </w:r>
      <w:r w:rsidRPr="003E5E17">
        <w:rPr>
          <w:color w:val="000000" w:themeColor="text1"/>
          <w:sz w:val="22"/>
          <w:szCs w:val="22"/>
        </w:rPr>
        <w:t xml:space="preserve">) </w:t>
      </w:r>
      <w:r w:rsidR="0046609C" w:rsidRPr="003E5E17">
        <w:rPr>
          <w:color w:val="000000" w:themeColor="text1"/>
          <w:sz w:val="22"/>
          <w:szCs w:val="22"/>
        </w:rPr>
        <w:t xml:space="preserve">for </w:t>
      </w:r>
      <w:r w:rsidR="00190101" w:rsidRPr="003E5E17">
        <w:rPr>
          <w:color w:val="000000" w:themeColor="text1"/>
          <w:sz w:val="22"/>
          <w:szCs w:val="22"/>
        </w:rPr>
        <w:t xml:space="preserve">the standard room model </w:t>
      </w:r>
      <w:r w:rsidR="008A7578" w:rsidRPr="003E5E17">
        <w:rPr>
          <w:color w:val="000000" w:themeColor="text1"/>
          <w:sz w:val="22"/>
          <w:szCs w:val="22"/>
        </w:rPr>
        <w:t>(</w:t>
      </w:r>
      <w:r w:rsidR="00190101" w:rsidRPr="003E5E17">
        <w:rPr>
          <w:color w:val="000000" w:themeColor="text1"/>
          <w:sz w:val="22"/>
          <w:szCs w:val="22"/>
        </w:rPr>
        <w:t>dimensions 5 × 4 × 2.8 m</w:t>
      </w:r>
      <w:r w:rsidR="00190101" w:rsidRPr="003E5E17">
        <w:rPr>
          <w:color w:val="000000" w:themeColor="text1"/>
          <w:sz w:val="22"/>
          <w:szCs w:val="22"/>
          <w:vertAlign w:val="superscript"/>
        </w:rPr>
        <w:t>3</w:t>
      </w:r>
      <w:r w:rsidR="008A7578" w:rsidRPr="003E5E17">
        <w:rPr>
          <w:color w:val="000000" w:themeColor="text1"/>
          <w:sz w:val="22"/>
          <w:szCs w:val="22"/>
        </w:rPr>
        <w:t>) with</w:t>
      </w:r>
      <w:r w:rsidR="00190101" w:rsidRPr="003E5E17">
        <w:rPr>
          <w:color w:val="000000" w:themeColor="text1"/>
          <w:sz w:val="22"/>
          <w:szCs w:val="22"/>
        </w:rPr>
        <w:t xml:space="preserve"> walls and floor covered with a 3 cm thickness of marble and granite tiles</w:t>
      </w:r>
      <w:r w:rsidRPr="003E5E17">
        <w:rPr>
          <w:color w:val="000000" w:themeColor="text1"/>
          <w:sz w:val="22"/>
          <w:szCs w:val="22"/>
        </w:rPr>
        <w:t xml:space="preserve"> is determined through the following formula</w:t>
      </w:r>
      <w:r w:rsidR="005B6A87">
        <w:rPr>
          <w:color w:val="000000" w:themeColor="text1"/>
          <w:sz w:val="22"/>
          <w:szCs w:val="22"/>
        </w:rPr>
        <w:t>.</w:t>
      </w:r>
    </w:p>
    <w:p w14:paraId="2641BFCD" w14:textId="79B57C4C" w:rsidR="007A3C95" w:rsidRPr="003E5E17" w:rsidRDefault="00000000" w:rsidP="008467C5">
      <w:pPr>
        <w:rPr>
          <w:b/>
          <w:bCs/>
          <w:sz w:val="22"/>
          <w:szCs w:val="22"/>
        </w:rPr>
      </w:pPr>
      <m:oMath>
        <m:sSub>
          <m:sSubPr>
            <m:ctrlPr>
              <w:rPr>
                <w:rFonts w:ascii="Cambria Math" w:hAnsi="Cambria Math"/>
                <w:b/>
                <w:bCs/>
                <w:i/>
                <w:sz w:val="22"/>
                <w:szCs w:val="22"/>
              </w:rPr>
            </m:ctrlPr>
          </m:sSubPr>
          <m:e>
            <m:r>
              <m:rPr>
                <m:sty m:val="bi"/>
              </m:rPr>
              <w:rPr>
                <w:rFonts w:ascii="Cambria Math" w:hAnsi="Cambria Math"/>
                <w:sz w:val="22"/>
                <w:szCs w:val="22"/>
              </w:rPr>
              <m:t>C</m:t>
            </m:r>
          </m:e>
          <m:sub>
            <m:r>
              <m:rPr>
                <m:sty m:val="bi"/>
              </m:rPr>
              <w:rPr>
                <w:rFonts w:ascii="Cambria Math" w:hAnsi="Cambria Math"/>
                <w:sz w:val="22"/>
                <w:szCs w:val="22"/>
              </w:rPr>
              <m:t>in</m:t>
            </m:r>
          </m:sub>
        </m:sSub>
        <m:r>
          <m:rPr>
            <m:sty m:val="bi"/>
          </m:rPr>
          <w:rPr>
            <w:rFonts w:ascii="Cambria Math" w:hAnsi="Cambria Math"/>
            <w:sz w:val="22"/>
            <w:szCs w:val="22"/>
          </w:rPr>
          <m:t xml:space="preserve"> </m:t>
        </m:r>
        <m:d>
          <m:dPr>
            <m:ctrlPr>
              <w:rPr>
                <w:rFonts w:ascii="Cambria Math" w:hAnsi="Cambria Math"/>
                <w:b/>
                <w:bCs/>
                <w:i/>
                <w:sz w:val="22"/>
                <w:szCs w:val="22"/>
              </w:rPr>
            </m:ctrlPr>
          </m:dPr>
          <m:e>
            <m:r>
              <m:rPr>
                <m:sty m:val="bi"/>
              </m:rPr>
              <w:rPr>
                <w:rFonts w:ascii="Cambria Math" w:hAnsi="Cambria Math"/>
                <w:sz w:val="22"/>
                <w:szCs w:val="22"/>
              </w:rPr>
              <m:t xml:space="preserve">Bq </m:t>
            </m:r>
            <m:sSup>
              <m:sSupPr>
                <m:ctrlPr>
                  <w:rPr>
                    <w:rFonts w:ascii="Cambria Math" w:hAnsi="Cambria Math"/>
                    <w:b/>
                    <w:bCs/>
                    <w:i/>
                    <w:sz w:val="22"/>
                    <w:szCs w:val="22"/>
                  </w:rPr>
                </m:ctrlPr>
              </m:sSupPr>
              <m:e>
                <m:r>
                  <m:rPr>
                    <m:sty m:val="bi"/>
                  </m:rPr>
                  <w:rPr>
                    <w:rFonts w:ascii="Cambria Math" w:hAnsi="Cambria Math"/>
                    <w:sz w:val="22"/>
                    <w:szCs w:val="22"/>
                  </w:rPr>
                  <m:t>m</m:t>
                </m:r>
              </m:e>
              <m:sup>
                <m:r>
                  <m:rPr>
                    <m:sty m:val="bi"/>
                  </m:rPr>
                  <w:rPr>
                    <w:rFonts w:ascii="Cambria Math" w:hAnsi="Cambria Math"/>
                    <w:sz w:val="22"/>
                    <w:szCs w:val="22"/>
                  </w:rPr>
                  <m:t>-3</m:t>
                </m:r>
              </m:sup>
            </m:sSup>
          </m:e>
        </m:d>
        <m:r>
          <m:rPr>
            <m:sty m:val="bi"/>
          </m:rPr>
          <w:rPr>
            <w:rFonts w:ascii="Cambria Math" w:hAnsi="Cambria Math"/>
            <w:sz w:val="22"/>
            <w:szCs w:val="22"/>
          </w:rPr>
          <m:t xml:space="preserve">=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E</m:t>
                </m:r>
              </m:e>
              <m:sub>
                <m:r>
                  <m:rPr>
                    <m:sty m:val="bi"/>
                  </m:rPr>
                  <w:rPr>
                    <w:rFonts w:ascii="Cambria Math" w:hAnsi="Cambria Math"/>
                    <w:sz w:val="22"/>
                    <w:szCs w:val="22"/>
                  </w:rPr>
                  <m:t>S</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R</m:t>
                </m:r>
              </m:sub>
            </m:sSub>
          </m:num>
          <m:den>
            <m:sSub>
              <m:sSubPr>
                <m:ctrlPr>
                  <w:rPr>
                    <w:rFonts w:ascii="Cambria Math" w:hAnsi="Cambria Math"/>
                    <w:b/>
                    <w:bCs/>
                    <w:i/>
                    <w:sz w:val="22"/>
                    <w:szCs w:val="22"/>
                  </w:rPr>
                </m:ctrlPr>
              </m:sSubPr>
              <m:e>
                <m:r>
                  <m:rPr>
                    <m:sty m:val="b"/>
                  </m:rPr>
                  <w:rPr>
                    <w:rFonts w:ascii="Cambria Math" w:hAnsi="Cambria Math"/>
                    <w:sz w:val="22"/>
                    <w:szCs w:val="22"/>
                  </w:rPr>
                  <m:t>λ</m:t>
                </m:r>
              </m:e>
              <m:sub>
                <m:r>
                  <m:rPr>
                    <m:sty m:val="bi"/>
                  </m:rPr>
                  <w:rPr>
                    <w:rFonts w:ascii="Cambria Math" w:hAnsi="Cambria Math"/>
                    <w:sz w:val="22"/>
                    <w:szCs w:val="22"/>
                  </w:rPr>
                  <m:t>V</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V</m:t>
                </m:r>
              </m:e>
              <m:sub>
                <m:r>
                  <m:rPr>
                    <m:sty m:val="bi"/>
                  </m:rPr>
                  <w:rPr>
                    <w:rFonts w:ascii="Cambria Math" w:hAnsi="Cambria Math"/>
                    <w:sz w:val="22"/>
                    <w:szCs w:val="22"/>
                  </w:rPr>
                  <m:t>R</m:t>
                </m:r>
              </m:sub>
            </m:sSub>
          </m:den>
        </m:f>
      </m:oMath>
      <w:r w:rsidR="007A3C95" w:rsidRPr="003E5E17">
        <w:rPr>
          <w:rFonts w:eastAsiaTheme="minorEastAsia"/>
          <w:b/>
          <w:bCs/>
          <w:sz w:val="22"/>
          <w:szCs w:val="22"/>
        </w:rPr>
        <w:t xml:space="preserve"> </w:t>
      </w:r>
      <w:r w:rsidR="007A3C95" w:rsidRPr="003E5E17">
        <w:rPr>
          <w:rFonts w:eastAsiaTheme="minorEastAsia"/>
          <w:b/>
          <w:bCs/>
          <w:sz w:val="22"/>
          <w:szCs w:val="22"/>
        </w:rPr>
        <w:tab/>
        <w:t>(3)</w:t>
      </w:r>
    </w:p>
    <w:p w14:paraId="52D722A9" w14:textId="1DCEFBF3" w:rsidR="00A95D7A" w:rsidRPr="00A027ED" w:rsidRDefault="00A40CD8" w:rsidP="008467C5">
      <w:pPr>
        <w:rPr>
          <w:sz w:val="22"/>
          <w:szCs w:val="22"/>
        </w:rPr>
      </w:pPr>
      <w:r w:rsidRPr="003E5E17">
        <w:rPr>
          <w:sz w:val="22"/>
          <w:szCs w:val="22"/>
        </w:rPr>
        <w:t xml:space="preserve">In the above formula, </w:t>
      </w:r>
      <w:r w:rsidR="00BD39D0" w:rsidRPr="003E5E17">
        <w:rPr>
          <w:sz w:val="22"/>
          <w:szCs w:val="22"/>
        </w:rPr>
        <w:t>A</w:t>
      </w:r>
      <w:r w:rsidR="00BD39D0" w:rsidRPr="003E5E17">
        <w:rPr>
          <w:sz w:val="22"/>
          <w:szCs w:val="22"/>
          <w:vertAlign w:val="subscript"/>
        </w:rPr>
        <w:t>R</w:t>
      </w:r>
      <w:r w:rsidRPr="003E5E17">
        <w:rPr>
          <w:sz w:val="22"/>
          <w:szCs w:val="22"/>
        </w:rPr>
        <w:t>,</w:t>
      </w:r>
      <w:r w:rsidR="00BD39D0" w:rsidRPr="003E5E17">
        <w:rPr>
          <w:sz w:val="22"/>
          <w:szCs w:val="22"/>
        </w:rPr>
        <w:t xml:space="preserve"> V</w:t>
      </w:r>
      <w:r w:rsidR="00BD39D0" w:rsidRPr="003E5E17">
        <w:rPr>
          <w:sz w:val="22"/>
          <w:szCs w:val="22"/>
          <w:vertAlign w:val="subscript"/>
        </w:rPr>
        <w:t>R</w:t>
      </w:r>
      <w:r w:rsidR="00BD39D0" w:rsidRPr="003E5E17">
        <w:rPr>
          <w:sz w:val="22"/>
          <w:szCs w:val="22"/>
        </w:rPr>
        <w:t xml:space="preserve"> </w:t>
      </w:r>
      <w:r w:rsidRPr="003E5E17">
        <w:rPr>
          <w:sz w:val="22"/>
          <w:szCs w:val="22"/>
        </w:rPr>
        <w:t xml:space="preserve">and </w:t>
      </w:r>
      <w:proofErr w:type="spellStart"/>
      <w:r w:rsidRPr="003E5E17">
        <w:rPr>
          <w:sz w:val="22"/>
          <w:szCs w:val="22"/>
        </w:rPr>
        <w:t>λ</w:t>
      </w:r>
      <w:r w:rsidRPr="003E5E17">
        <w:rPr>
          <w:sz w:val="22"/>
          <w:szCs w:val="22"/>
          <w:vertAlign w:val="subscript"/>
        </w:rPr>
        <w:t>V</w:t>
      </w:r>
      <w:proofErr w:type="spellEnd"/>
      <w:r w:rsidRPr="003E5E17">
        <w:rPr>
          <w:sz w:val="22"/>
          <w:szCs w:val="22"/>
        </w:rPr>
        <w:t xml:space="preserve"> </w:t>
      </w:r>
      <w:r w:rsidR="00BD39D0" w:rsidRPr="003E5E17">
        <w:rPr>
          <w:sz w:val="22"/>
          <w:szCs w:val="22"/>
        </w:rPr>
        <w:t xml:space="preserve">are </w:t>
      </w:r>
      <w:r w:rsidR="00557591" w:rsidRPr="003E5E17">
        <w:rPr>
          <w:sz w:val="22"/>
          <w:szCs w:val="22"/>
        </w:rPr>
        <w:t>surface area of wall with floor</w:t>
      </w:r>
      <w:r w:rsidRPr="003E5E17">
        <w:rPr>
          <w:sz w:val="22"/>
          <w:szCs w:val="22"/>
        </w:rPr>
        <w:t xml:space="preserve"> (89.6 m</w:t>
      </w:r>
      <w:r w:rsidRPr="003E5E17">
        <w:rPr>
          <w:sz w:val="22"/>
          <w:szCs w:val="22"/>
          <w:vertAlign w:val="superscript"/>
        </w:rPr>
        <w:t>2</w:t>
      </w:r>
      <w:r w:rsidRPr="003E5E17">
        <w:rPr>
          <w:sz w:val="22"/>
          <w:szCs w:val="22"/>
        </w:rPr>
        <w:t>), volume of</w:t>
      </w:r>
      <w:r>
        <w:rPr>
          <w:sz w:val="22"/>
          <w:szCs w:val="22"/>
        </w:rPr>
        <w:t xml:space="preserve"> the room </w:t>
      </w:r>
      <w:r w:rsidRPr="00A027ED">
        <w:rPr>
          <w:sz w:val="22"/>
          <w:szCs w:val="22"/>
        </w:rPr>
        <w:t>(56 m</w:t>
      </w:r>
      <w:r w:rsidRPr="00A027ED">
        <w:rPr>
          <w:sz w:val="22"/>
          <w:szCs w:val="22"/>
          <w:vertAlign w:val="superscript"/>
        </w:rPr>
        <w:t>3</w:t>
      </w:r>
      <w:r w:rsidRPr="00A027ED">
        <w:rPr>
          <w:sz w:val="22"/>
          <w:szCs w:val="22"/>
        </w:rPr>
        <w:t>)</w:t>
      </w:r>
      <w:r w:rsidR="003E5E17">
        <w:rPr>
          <w:sz w:val="22"/>
          <w:szCs w:val="22"/>
        </w:rPr>
        <w:t xml:space="preserve"> </w:t>
      </w:r>
      <w:r>
        <w:rPr>
          <w:sz w:val="22"/>
          <w:szCs w:val="22"/>
        </w:rPr>
        <w:t>and</w:t>
      </w:r>
      <w:r w:rsidR="00607F9D" w:rsidRPr="00A027ED">
        <w:rPr>
          <w:sz w:val="22"/>
          <w:szCs w:val="22"/>
        </w:rPr>
        <w:t xml:space="preserve"> ventilation rate</w:t>
      </w:r>
      <w:r w:rsidR="00AB59A3">
        <w:rPr>
          <w:sz w:val="22"/>
          <w:szCs w:val="22"/>
        </w:rPr>
        <w:t xml:space="preserve"> (h</w:t>
      </w:r>
      <w:r w:rsidR="00AB59A3" w:rsidRPr="00AB59A3">
        <w:rPr>
          <w:sz w:val="22"/>
          <w:szCs w:val="22"/>
          <w:vertAlign w:val="superscript"/>
        </w:rPr>
        <w:t>-1</w:t>
      </w:r>
      <w:r w:rsidR="00AB59A3">
        <w:rPr>
          <w:sz w:val="22"/>
          <w:szCs w:val="22"/>
        </w:rPr>
        <w:t>)</w:t>
      </w:r>
      <w:r>
        <w:rPr>
          <w:sz w:val="22"/>
          <w:szCs w:val="22"/>
        </w:rPr>
        <w:t>, respectively</w:t>
      </w:r>
      <w:r w:rsidR="00C45E75" w:rsidRPr="00A027ED">
        <w:rPr>
          <w:sz w:val="22"/>
          <w:szCs w:val="22"/>
        </w:rPr>
        <w:t>.</w:t>
      </w:r>
    </w:p>
    <w:p w14:paraId="495AC7F3" w14:textId="45C5C70E" w:rsidR="00C33C75" w:rsidRPr="00C33C75" w:rsidRDefault="00C33C75" w:rsidP="00C33C75">
      <w:pPr>
        <w:rPr>
          <w:sz w:val="22"/>
          <w:szCs w:val="22"/>
        </w:rPr>
      </w:pPr>
      <w:r w:rsidRPr="00C33C75">
        <w:rPr>
          <w:sz w:val="22"/>
          <w:szCs w:val="22"/>
        </w:rPr>
        <w:t>The annual inhalation effective dose (AIED) from radon and its progeny is calculated using the following formula.</w:t>
      </w:r>
    </w:p>
    <w:p w14:paraId="3AB59855" w14:textId="7EE13097" w:rsidR="00C33C75" w:rsidRPr="00C33C75" w:rsidRDefault="00C33C75" w:rsidP="00C33C75">
      <w:pPr>
        <w:rPr>
          <w:b/>
          <w:bCs/>
          <w:sz w:val="22"/>
          <w:szCs w:val="22"/>
        </w:rPr>
      </w:pPr>
      <m:oMath>
        <m:r>
          <m:rPr>
            <m:sty m:val="bi"/>
          </m:rPr>
          <w:rPr>
            <w:rFonts w:ascii="Cambria Math" w:hAnsi="Cambria Math"/>
            <w:sz w:val="22"/>
            <w:szCs w:val="22"/>
          </w:rPr>
          <m:t xml:space="preserve">AIED </m:t>
        </m:r>
        <m:d>
          <m:dPr>
            <m:ctrlPr>
              <w:rPr>
                <w:rFonts w:ascii="Cambria Math" w:hAnsi="Cambria Math"/>
                <w:b/>
                <w:bCs/>
                <w:i/>
                <w:sz w:val="22"/>
                <w:szCs w:val="22"/>
              </w:rPr>
            </m:ctrlPr>
          </m:dPr>
          <m:e>
            <m:r>
              <m:rPr>
                <m:sty m:val="bi"/>
              </m:rPr>
              <w:rPr>
                <w:rFonts w:ascii="Cambria Math" w:hAnsi="Cambria Math"/>
                <w:sz w:val="22"/>
                <w:szCs w:val="22"/>
              </w:rPr>
              <m:t>mSv</m:t>
            </m:r>
            <m:sSup>
              <m:sSupPr>
                <m:ctrlPr>
                  <w:rPr>
                    <w:rFonts w:ascii="Cambria Math" w:hAnsi="Cambria Math"/>
                    <w:b/>
                    <w:bCs/>
                    <w:i/>
                    <w:sz w:val="22"/>
                    <w:szCs w:val="22"/>
                  </w:rPr>
                </m:ctrlPr>
              </m:sSupPr>
              <m:e>
                <m:r>
                  <m:rPr>
                    <m:sty m:val="bi"/>
                  </m:rPr>
                  <w:rPr>
                    <w:rFonts w:ascii="Cambria Math" w:hAnsi="Cambria Math"/>
                    <w:sz w:val="22"/>
                    <w:szCs w:val="22"/>
                  </w:rPr>
                  <m:t>y</m:t>
                </m:r>
              </m:e>
              <m:sup>
                <m:r>
                  <m:rPr>
                    <m:sty m:val="bi"/>
                  </m:rPr>
                  <w:rPr>
                    <w:rFonts w:ascii="Cambria Math" w:hAnsi="Cambria Math"/>
                    <w:sz w:val="22"/>
                    <w:szCs w:val="22"/>
                  </w:rPr>
                  <m:t>-1</m:t>
                </m:r>
              </m:sup>
            </m:sSup>
          </m:e>
        </m:d>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C</m:t>
            </m:r>
          </m:e>
          <m:sub>
            <m:r>
              <m:rPr>
                <m:sty m:val="bi"/>
              </m:rPr>
              <w:rPr>
                <w:rFonts w:ascii="Cambria Math" w:hAnsi="Cambria Math"/>
                <w:sz w:val="22"/>
                <w:szCs w:val="22"/>
              </w:rPr>
              <m:t>in</m:t>
            </m:r>
          </m:sub>
        </m:sSub>
        <m:r>
          <m:rPr>
            <m:sty m:val="bi"/>
          </m:rPr>
          <w:rPr>
            <w:rFonts w:ascii="Cambria Math" w:hAnsi="Cambria Math"/>
            <w:sz w:val="22"/>
            <w:szCs w:val="22"/>
          </w:rPr>
          <m:t xml:space="preserve">×F × </m:t>
        </m:r>
        <m:sSub>
          <m:sSubPr>
            <m:ctrlPr>
              <w:rPr>
                <w:rFonts w:ascii="Cambria Math" w:hAnsi="Cambria Math"/>
                <w:b/>
                <w:bCs/>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CF</m:t>
            </m:r>
          </m:sub>
        </m:sSub>
        <m:r>
          <m:rPr>
            <m:sty m:val="bi"/>
          </m:rPr>
          <w:rPr>
            <w:rFonts w:ascii="Cambria Math" w:hAnsi="Cambria Math"/>
            <w:sz w:val="22"/>
            <w:szCs w:val="22"/>
          </w:rPr>
          <m:t xml:space="preserve"> ×O</m:t>
        </m:r>
      </m:oMath>
      <w:r w:rsidRPr="00C33C75">
        <w:rPr>
          <w:rFonts w:eastAsiaTheme="minorEastAsia"/>
          <w:b/>
          <w:bCs/>
          <w:sz w:val="22"/>
          <w:szCs w:val="22"/>
        </w:rPr>
        <w:t xml:space="preserve"> </w:t>
      </w:r>
      <w:r w:rsidRPr="00C33C75">
        <w:rPr>
          <w:rFonts w:eastAsiaTheme="minorEastAsia"/>
          <w:b/>
          <w:bCs/>
          <w:sz w:val="22"/>
          <w:szCs w:val="22"/>
        </w:rPr>
        <w:tab/>
        <w:t>(4)</w:t>
      </w:r>
    </w:p>
    <w:p w14:paraId="6A92374F" w14:textId="300BC69B" w:rsidR="006404F3" w:rsidRPr="00D82707" w:rsidRDefault="00D82707" w:rsidP="00CB616A">
      <w:pPr>
        <w:spacing w:after="240"/>
        <w:rPr>
          <w:sz w:val="22"/>
          <w:szCs w:val="22"/>
        </w:rPr>
      </w:pPr>
      <w:r w:rsidRPr="00D82707">
        <w:rPr>
          <w:sz w:val="22"/>
          <w:szCs w:val="22"/>
        </w:rPr>
        <w:t>In the above formula, radon equilibrium equivalent concentration factor is represented by F taken as 0.4 for inhabitants</w:t>
      </w:r>
      <w:r w:rsidR="00F30575">
        <w:rPr>
          <w:sz w:val="22"/>
          <w:szCs w:val="22"/>
        </w:rPr>
        <w:t xml:space="preserve"> [3]</w:t>
      </w:r>
      <w:r w:rsidRPr="00D82707">
        <w:rPr>
          <w:sz w:val="22"/>
          <w:szCs w:val="22"/>
        </w:rPr>
        <w:t>. The dose conversion factor (</w:t>
      </w:r>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vertAlign w:val="subscript"/>
              </w:rPr>
              <m:t>CF</m:t>
            </m:r>
          </m:sub>
        </m:sSub>
      </m:oMath>
      <w:r w:rsidRPr="00D82707">
        <w:rPr>
          <w:sz w:val="22"/>
          <w:szCs w:val="22"/>
        </w:rPr>
        <w:t xml:space="preserve">) for </w:t>
      </w:r>
      <w:r w:rsidRPr="00D82707">
        <w:rPr>
          <w:sz w:val="22"/>
          <w:szCs w:val="22"/>
          <w:vertAlign w:val="superscript"/>
        </w:rPr>
        <w:t>222</w:t>
      </w:r>
      <w:r w:rsidRPr="00D82707">
        <w:rPr>
          <w:sz w:val="22"/>
          <w:szCs w:val="22"/>
        </w:rPr>
        <w:t xml:space="preserve">Rn is 9 </w:t>
      </w:r>
      <w:proofErr w:type="spellStart"/>
      <w:r w:rsidRPr="00D82707">
        <w:rPr>
          <w:sz w:val="22"/>
          <w:szCs w:val="22"/>
        </w:rPr>
        <w:t>nSv</w:t>
      </w:r>
      <w:proofErr w:type="spellEnd"/>
      <w:r w:rsidRPr="00D82707">
        <w:rPr>
          <w:sz w:val="22"/>
          <w:szCs w:val="22"/>
        </w:rPr>
        <w:t xml:space="preserve"> (Bqhm</w:t>
      </w:r>
      <w:r w:rsidRPr="00D82707">
        <w:rPr>
          <w:sz w:val="22"/>
          <w:szCs w:val="22"/>
          <w:vertAlign w:val="superscript"/>
        </w:rPr>
        <w:t>−</w:t>
      </w:r>
      <w:proofErr w:type="gramStart"/>
      <w:r w:rsidRPr="00D82707">
        <w:rPr>
          <w:sz w:val="22"/>
          <w:szCs w:val="22"/>
          <w:vertAlign w:val="superscript"/>
        </w:rPr>
        <w:t>3</w:t>
      </w:r>
      <w:r w:rsidRPr="00D82707">
        <w:rPr>
          <w:sz w:val="22"/>
          <w:szCs w:val="22"/>
        </w:rPr>
        <w:t>)</w:t>
      </w:r>
      <w:r w:rsidRPr="00D82707">
        <w:rPr>
          <w:sz w:val="22"/>
          <w:szCs w:val="22"/>
          <w:vertAlign w:val="superscript"/>
        </w:rPr>
        <w:t>−</w:t>
      </w:r>
      <w:proofErr w:type="gramEnd"/>
      <w:r w:rsidRPr="00D82707">
        <w:rPr>
          <w:sz w:val="22"/>
          <w:szCs w:val="22"/>
          <w:vertAlign w:val="superscript"/>
        </w:rPr>
        <w:t>1</w:t>
      </w:r>
      <w:r w:rsidRPr="00D82707">
        <w:rPr>
          <w:sz w:val="22"/>
          <w:szCs w:val="22"/>
        </w:rPr>
        <w:t xml:space="preserve"> and </w:t>
      </w:r>
      <m:oMath>
        <m:r>
          <w:rPr>
            <w:rFonts w:ascii="Cambria Math" w:hAnsi="Cambria Math"/>
            <w:sz w:val="22"/>
            <w:szCs w:val="22"/>
          </w:rPr>
          <m:t>O</m:t>
        </m:r>
      </m:oMath>
      <w:r w:rsidRPr="00D82707">
        <w:rPr>
          <w:sz w:val="22"/>
          <w:szCs w:val="22"/>
        </w:rPr>
        <w:t xml:space="preserve"> represents the annual occupancy (7000 h y</w:t>
      </w:r>
      <w:r w:rsidRPr="00D82707">
        <w:rPr>
          <w:sz w:val="22"/>
          <w:szCs w:val="22"/>
          <w:vertAlign w:val="superscript"/>
        </w:rPr>
        <w:t>-1</w:t>
      </w:r>
      <w:r w:rsidRPr="00D82707">
        <w:rPr>
          <w:sz w:val="22"/>
          <w:szCs w:val="22"/>
        </w:rPr>
        <w:t>) indicating that the average time or 80 % of time spent inside the building during a year</w:t>
      </w:r>
      <w:r w:rsidR="00795C5B">
        <w:rPr>
          <w:sz w:val="22"/>
          <w:szCs w:val="22"/>
        </w:rPr>
        <w:t xml:space="preserve"> [</w:t>
      </w:r>
      <w:r w:rsidR="007379A6">
        <w:rPr>
          <w:sz w:val="22"/>
          <w:szCs w:val="22"/>
        </w:rPr>
        <w:t>3</w:t>
      </w:r>
      <w:r w:rsidR="00795C5B">
        <w:rPr>
          <w:sz w:val="22"/>
          <w:szCs w:val="22"/>
        </w:rPr>
        <w:t>]</w:t>
      </w:r>
      <w:r w:rsidRPr="00D82707">
        <w:rPr>
          <w:sz w:val="22"/>
          <w:szCs w:val="22"/>
        </w:rPr>
        <w:t>.</w:t>
      </w:r>
    </w:p>
    <w:p w14:paraId="7136BC3B" w14:textId="6C77051B" w:rsidR="00A95D7A" w:rsidRPr="00D17BBA" w:rsidRDefault="00D17BBA" w:rsidP="00CB616A">
      <w:pPr>
        <w:pStyle w:val="BodyTextIndent"/>
        <w:ind w:firstLine="0"/>
        <w:jc w:val="center"/>
        <w:rPr>
          <w:sz w:val="22"/>
          <w:szCs w:val="22"/>
        </w:rPr>
      </w:pPr>
      <w:r w:rsidRPr="00F61074">
        <w:rPr>
          <w:noProof/>
          <w:color w:val="000000" w:themeColor="text1"/>
        </w:rPr>
        <w:drawing>
          <wp:inline distT="0" distB="0" distL="0" distR="0" wp14:anchorId="2D0BBAFF" wp14:editId="1AB4D5BB">
            <wp:extent cx="2987040" cy="1348740"/>
            <wp:effectExtent l="0" t="0" r="3810" b="0"/>
            <wp:docPr id="1656725668" name="Picture 33" descr="A large metal pot with a lid and a tube on a cou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25668" name="Picture 33" descr="A large metal pot with a lid and a tube on a counter&#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t="27522" r="2949" b="4787"/>
                    <a:stretch>
                      <a:fillRect/>
                    </a:stretch>
                  </pic:blipFill>
                  <pic:spPr bwMode="auto">
                    <a:xfrm>
                      <a:off x="0" y="0"/>
                      <a:ext cx="2987040" cy="1348740"/>
                    </a:xfrm>
                    <a:prstGeom prst="rect">
                      <a:avLst/>
                    </a:prstGeom>
                    <a:noFill/>
                    <a:ln>
                      <a:noFill/>
                    </a:ln>
                    <a:extLst>
                      <a:ext uri="{53640926-AAD7-44D8-BBD7-CCE9431645EC}">
                        <a14:shadowObscured xmlns:a14="http://schemas.microsoft.com/office/drawing/2010/main"/>
                      </a:ext>
                    </a:extLst>
                  </pic:spPr>
                </pic:pic>
              </a:graphicData>
            </a:graphic>
          </wp:inline>
        </w:drawing>
      </w:r>
    </w:p>
    <w:p w14:paraId="15CE168A" w14:textId="1E4362E8" w:rsidR="00EA1766" w:rsidRDefault="003725D8" w:rsidP="003725D8">
      <w:pPr>
        <w:rPr>
          <w:color w:val="000000" w:themeColor="text1"/>
        </w:rPr>
      </w:pPr>
      <w:r w:rsidRPr="00341CE3">
        <w:rPr>
          <w:b/>
          <w:bCs/>
          <w:color w:val="000000" w:themeColor="text1"/>
        </w:rPr>
        <w:t>Fig</w:t>
      </w:r>
      <w:r>
        <w:rPr>
          <w:b/>
          <w:bCs/>
          <w:color w:val="000000" w:themeColor="text1"/>
        </w:rPr>
        <w:t>.</w:t>
      </w:r>
      <w:r w:rsidRPr="00341CE3">
        <w:rPr>
          <w:b/>
          <w:bCs/>
          <w:color w:val="000000" w:themeColor="text1"/>
        </w:rPr>
        <w:t xml:space="preserve"> </w:t>
      </w:r>
      <w:r>
        <w:rPr>
          <w:b/>
          <w:bCs/>
          <w:color w:val="000000" w:themeColor="text1"/>
        </w:rPr>
        <w:t>2.</w:t>
      </w:r>
      <w:r w:rsidRPr="00341CE3">
        <w:rPr>
          <w:color w:val="000000" w:themeColor="text1"/>
        </w:rPr>
        <w:t xml:space="preserve"> </w:t>
      </w:r>
      <w:r>
        <w:rPr>
          <w:color w:val="000000" w:themeColor="text1"/>
        </w:rPr>
        <w:t>Experimental set-up for radon exhalation measurements</w:t>
      </w:r>
      <w:r w:rsidRPr="00341CE3">
        <w:rPr>
          <w:color w:val="000000" w:themeColor="text1"/>
        </w:rPr>
        <w:t>.</w:t>
      </w:r>
    </w:p>
    <w:p w14:paraId="0397F826" w14:textId="596A3B21" w:rsidR="00781B6A" w:rsidRPr="00BB7497" w:rsidRDefault="00781B6A" w:rsidP="00B029D3">
      <w:pPr>
        <w:pStyle w:val="AbstractClauseTitle"/>
        <w:jc w:val="left"/>
        <w:rPr>
          <w:rFonts w:ascii="Times New Roman" w:hAnsi="Times New Roman"/>
          <w:caps w:val="0"/>
          <w:sz w:val="22"/>
          <w:szCs w:val="22"/>
        </w:rPr>
      </w:pPr>
      <w:r w:rsidRPr="00BB7497">
        <w:rPr>
          <w:rFonts w:ascii="Times New Roman" w:hAnsi="Times New Roman"/>
          <w:caps w:val="0"/>
          <w:sz w:val="22"/>
          <w:szCs w:val="22"/>
        </w:rPr>
        <w:lastRenderedPageBreak/>
        <w:t xml:space="preserve">III. </w:t>
      </w:r>
      <w:r w:rsidR="00E03F01">
        <w:rPr>
          <w:rFonts w:ascii="Times New Roman" w:hAnsi="Times New Roman"/>
          <w:caps w:val="0"/>
          <w:sz w:val="22"/>
          <w:szCs w:val="22"/>
        </w:rPr>
        <w:t xml:space="preserve">Results and </w:t>
      </w:r>
      <w:r w:rsidR="003B2355">
        <w:rPr>
          <w:rFonts w:ascii="Times New Roman" w:hAnsi="Times New Roman"/>
          <w:caps w:val="0"/>
          <w:sz w:val="22"/>
          <w:szCs w:val="22"/>
        </w:rPr>
        <w:t>Discussion</w:t>
      </w:r>
    </w:p>
    <w:p w14:paraId="03D5937E" w14:textId="55AE68F3" w:rsidR="00C434EF" w:rsidRPr="00E30F51" w:rsidRDefault="00691E09" w:rsidP="00CB616A">
      <w:pPr>
        <w:pStyle w:val="BodyTextIndent"/>
        <w:ind w:firstLine="0"/>
        <w:rPr>
          <w:color w:val="000000" w:themeColor="text1"/>
          <w:sz w:val="22"/>
          <w:szCs w:val="22"/>
        </w:rPr>
      </w:pPr>
      <w:r w:rsidRPr="005D3ECC">
        <w:rPr>
          <w:color w:val="000000" w:themeColor="text1"/>
          <w:sz w:val="22"/>
          <w:szCs w:val="22"/>
        </w:rPr>
        <w:t>The average radon concentration (</w:t>
      </w:r>
      <w:proofErr w:type="spellStart"/>
      <w:r w:rsidRPr="005D3ECC">
        <w:rPr>
          <w:color w:val="000000" w:themeColor="text1"/>
          <w:sz w:val="22"/>
          <w:szCs w:val="22"/>
        </w:rPr>
        <w:t>C</w:t>
      </w:r>
      <w:r w:rsidRPr="005D3ECC">
        <w:rPr>
          <w:color w:val="000000" w:themeColor="text1"/>
          <w:sz w:val="22"/>
          <w:szCs w:val="22"/>
          <w:vertAlign w:val="subscript"/>
        </w:rPr>
        <w:t>Rn</w:t>
      </w:r>
      <w:proofErr w:type="spellEnd"/>
      <w:r w:rsidRPr="005D3ECC">
        <w:rPr>
          <w:color w:val="000000" w:themeColor="text1"/>
          <w:sz w:val="22"/>
          <w:szCs w:val="22"/>
        </w:rPr>
        <w:t xml:space="preserve">) in the chamber is 26.14 ± 10.47 Bq </w:t>
      </w:r>
      <w:r w:rsidRPr="005D3ECC">
        <w:rPr>
          <w:sz w:val="22"/>
          <w:szCs w:val="22"/>
        </w:rPr>
        <w:t>m</w:t>
      </w:r>
      <w:r w:rsidRPr="005D3ECC">
        <w:rPr>
          <w:sz w:val="22"/>
          <w:szCs w:val="22"/>
          <w:vertAlign w:val="superscript"/>
        </w:rPr>
        <w:t>-3</w:t>
      </w:r>
      <w:r w:rsidRPr="005D3ECC">
        <w:rPr>
          <w:color w:val="000000" w:themeColor="text1"/>
          <w:sz w:val="22"/>
          <w:szCs w:val="22"/>
        </w:rPr>
        <w:t>.</w:t>
      </w:r>
      <w:r w:rsidR="00A05D2A" w:rsidRPr="005D3ECC">
        <w:rPr>
          <w:color w:val="000000" w:themeColor="text1"/>
          <w:sz w:val="22"/>
          <w:szCs w:val="22"/>
        </w:rPr>
        <w:t xml:space="preserve"> </w:t>
      </w:r>
      <w:r w:rsidR="00BE7269" w:rsidRPr="005D3ECC">
        <w:rPr>
          <w:color w:val="000000" w:themeColor="text1"/>
          <w:sz w:val="22"/>
          <w:szCs w:val="22"/>
        </w:rPr>
        <w:t>S</w:t>
      </w:r>
      <w:r w:rsidR="00A05D2A" w:rsidRPr="005D3ECC">
        <w:rPr>
          <w:color w:val="000000" w:themeColor="text1"/>
          <w:sz w:val="22"/>
          <w:szCs w:val="22"/>
        </w:rPr>
        <w:t xml:space="preserve">ample (S5) showed the highest </w:t>
      </w:r>
      <w:proofErr w:type="spellStart"/>
      <w:r w:rsidR="00A05D2A" w:rsidRPr="005D3ECC">
        <w:rPr>
          <w:color w:val="000000" w:themeColor="text1"/>
          <w:sz w:val="22"/>
          <w:szCs w:val="22"/>
        </w:rPr>
        <w:t>C</w:t>
      </w:r>
      <w:r w:rsidR="00A05D2A" w:rsidRPr="005D3ECC">
        <w:rPr>
          <w:color w:val="000000" w:themeColor="text1"/>
          <w:sz w:val="22"/>
          <w:szCs w:val="22"/>
          <w:vertAlign w:val="subscript"/>
        </w:rPr>
        <w:t>Rn</w:t>
      </w:r>
      <w:proofErr w:type="spellEnd"/>
      <w:r w:rsidR="00A05D2A" w:rsidRPr="005D3ECC">
        <w:rPr>
          <w:color w:val="000000" w:themeColor="text1"/>
          <w:sz w:val="22"/>
          <w:szCs w:val="22"/>
        </w:rPr>
        <w:t xml:space="preserve">, </w:t>
      </w:r>
      <w:r w:rsidR="00BE7269" w:rsidRPr="005D3ECC">
        <w:rPr>
          <w:color w:val="000000" w:themeColor="text1"/>
          <w:sz w:val="22"/>
          <w:szCs w:val="22"/>
        </w:rPr>
        <w:t xml:space="preserve">as shown in Fig 3 </w:t>
      </w:r>
      <w:r w:rsidR="00A05D2A" w:rsidRPr="005D3ECC">
        <w:rPr>
          <w:color w:val="000000" w:themeColor="text1"/>
          <w:sz w:val="22"/>
          <w:szCs w:val="22"/>
        </w:rPr>
        <w:t>while S6 had the lowest, demonstrating that granite composition and structure can vary considerably and influence radon release independently of material classification.</w:t>
      </w:r>
    </w:p>
    <w:p w14:paraId="1C870B10" w14:textId="68693842" w:rsidR="00691E09" w:rsidRDefault="004E5612" w:rsidP="00CB616A">
      <w:pPr>
        <w:pStyle w:val="BodyTextIndent"/>
        <w:ind w:firstLine="0"/>
      </w:pPr>
      <w:r w:rsidRPr="002E13A2">
        <w:rPr>
          <w:noProof/>
          <w:color w:val="000000" w:themeColor="text1"/>
          <w:sz w:val="22"/>
          <w:szCs w:val="22"/>
        </w:rPr>
        <w:drawing>
          <wp:inline distT="0" distB="0" distL="0" distR="0" wp14:anchorId="1EBCC4B9" wp14:editId="7139D824">
            <wp:extent cx="1501140" cy="1150620"/>
            <wp:effectExtent l="0" t="0" r="3810" b="0"/>
            <wp:docPr id="100919925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1140" cy="1150620"/>
                    </a:xfrm>
                    <a:prstGeom prst="rect">
                      <a:avLst/>
                    </a:prstGeom>
                    <a:noFill/>
                    <a:ln>
                      <a:noFill/>
                    </a:ln>
                  </pic:spPr>
                </pic:pic>
              </a:graphicData>
            </a:graphic>
          </wp:inline>
        </w:drawing>
      </w:r>
      <w:r w:rsidR="005152BF" w:rsidRPr="005152BF">
        <w:t xml:space="preserve"> </w:t>
      </w:r>
      <w:r w:rsidR="0029380B" w:rsidRPr="00391F48">
        <w:rPr>
          <w:noProof/>
          <w:color w:val="000000" w:themeColor="text1"/>
          <w:sz w:val="22"/>
          <w:szCs w:val="22"/>
        </w:rPr>
        <w:drawing>
          <wp:inline distT="0" distB="0" distL="0" distR="0" wp14:anchorId="27A0239B" wp14:editId="27B47297">
            <wp:extent cx="1455420" cy="1143000"/>
            <wp:effectExtent l="0" t="0" r="0" b="0"/>
            <wp:docPr id="948610885" name="Picture 39"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10885" name="Picture 39" descr="A graph of different colored bar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420" cy="1143000"/>
                    </a:xfrm>
                    <a:prstGeom prst="rect">
                      <a:avLst/>
                    </a:prstGeom>
                    <a:noFill/>
                    <a:ln>
                      <a:noFill/>
                    </a:ln>
                  </pic:spPr>
                </pic:pic>
              </a:graphicData>
            </a:graphic>
          </wp:inline>
        </w:drawing>
      </w:r>
    </w:p>
    <w:p w14:paraId="157BBEAF" w14:textId="4175FE84" w:rsidR="001B40B1" w:rsidRDefault="00781B6A" w:rsidP="001B40B1">
      <w:pPr>
        <w:pStyle w:val="BodyTextIndent"/>
        <w:ind w:firstLine="0"/>
        <w:rPr>
          <w:color w:val="000000" w:themeColor="text1"/>
        </w:rPr>
      </w:pPr>
      <w:r w:rsidRPr="00F806BA">
        <w:rPr>
          <w:b/>
          <w:bCs/>
        </w:rPr>
        <w:t xml:space="preserve">Fig. </w:t>
      </w:r>
      <w:r w:rsidR="00691E09" w:rsidRPr="00F806BA">
        <w:rPr>
          <w:b/>
          <w:bCs/>
        </w:rPr>
        <w:t>3</w:t>
      </w:r>
      <w:r w:rsidRPr="00F806BA">
        <w:rPr>
          <w:b/>
          <w:bCs/>
        </w:rPr>
        <w:t>.</w:t>
      </w:r>
      <w:r w:rsidR="00691E09">
        <w:rPr>
          <w:i/>
          <w:iCs/>
        </w:rPr>
        <w:t xml:space="preserve"> </w:t>
      </w:r>
      <w:r w:rsidR="007B4F83" w:rsidRPr="00721567">
        <w:rPr>
          <w:b/>
          <w:bCs/>
        </w:rPr>
        <w:t>(a)</w:t>
      </w:r>
      <w:r w:rsidR="007B4F83">
        <w:rPr>
          <w:i/>
          <w:iCs/>
        </w:rPr>
        <w:t xml:space="preserve"> </w:t>
      </w:r>
      <w:r w:rsidR="009B2FBF">
        <w:t xml:space="preserve">The build-up of </w:t>
      </w:r>
      <w:r w:rsidR="009B2FBF">
        <w:rPr>
          <w:color w:val="000000" w:themeColor="text1"/>
        </w:rPr>
        <w:t>r</w:t>
      </w:r>
      <w:r w:rsidR="00691E09" w:rsidRPr="00FE657F">
        <w:rPr>
          <w:color w:val="000000" w:themeColor="text1"/>
        </w:rPr>
        <w:t>adon</w:t>
      </w:r>
      <w:r w:rsidR="009B2FBF">
        <w:rPr>
          <w:color w:val="000000" w:themeColor="text1"/>
        </w:rPr>
        <w:t xml:space="preserve"> (</w:t>
      </w:r>
      <w:proofErr w:type="spellStart"/>
      <w:r w:rsidR="009B2FBF">
        <w:rPr>
          <w:color w:val="000000" w:themeColor="text1"/>
        </w:rPr>
        <w:t>C</w:t>
      </w:r>
      <w:r w:rsidR="009B2FBF" w:rsidRPr="009B2FBF">
        <w:rPr>
          <w:color w:val="000000" w:themeColor="text1"/>
          <w:vertAlign w:val="subscript"/>
        </w:rPr>
        <w:t>Rn</w:t>
      </w:r>
      <w:proofErr w:type="spellEnd"/>
      <w:r w:rsidR="009B2FBF">
        <w:rPr>
          <w:color w:val="000000" w:themeColor="text1"/>
        </w:rPr>
        <w:t>) exhalating from</w:t>
      </w:r>
      <w:r w:rsidR="00691E09" w:rsidRPr="00FE657F">
        <w:rPr>
          <w:color w:val="000000" w:themeColor="text1"/>
        </w:rPr>
        <w:t xml:space="preserve"> sample</w:t>
      </w:r>
      <w:r w:rsidR="00691E09">
        <w:rPr>
          <w:color w:val="000000" w:themeColor="text1"/>
        </w:rPr>
        <w:t xml:space="preserve"> S4</w:t>
      </w:r>
      <w:r w:rsidR="009B2FBF">
        <w:rPr>
          <w:color w:val="000000" w:themeColor="text1"/>
        </w:rPr>
        <w:t xml:space="preserve"> in 50.4 L </w:t>
      </w:r>
      <w:r w:rsidR="00C22B56" w:rsidRPr="009B2FBF">
        <w:rPr>
          <w:color w:val="000000" w:themeColor="text1"/>
        </w:rPr>
        <w:t xml:space="preserve">closed </w:t>
      </w:r>
      <w:r w:rsidR="00F5101A">
        <w:rPr>
          <w:color w:val="000000" w:themeColor="text1"/>
        </w:rPr>
        <w:t>container</w:t>
      </w:r>
      <w:r w:rsidR="00691E09">
        <w:rPr>
          <w:color w:val="000000" w:themeColor="text1"/>
        </w:rPr>
        <w:t xml:space="preserve"> and </w:t>
      </w:r>
      <w:r w:rsidR="00721567" w:rsidRPr="00721567">
        <w:rPr>
          <w:b/>
          <w:bCs/>
          <w:color w:val="000000" w:themeColor="text1"/>
        </w:rPr>
        <w:t>(b)</w:t>
      </w:r>
      <w:r w:rsidR="00721567">
        <w:rPr>
          <w:color w:val="000000" w:themeColor="text1"/>
        </w:rPr>
        <w:t xml:space="preserve"> </w:t>
      </w:r>
      <w:r w:rsidR="005152BF">
        <w:rPr>
          <w:color w:val="000000" w:themeColor="text1"/>
        </w:rPr>
        <w:t xml:space="preserve">levels of </w:t>
      </w:r>
      <w:proofErr w:type="spellStart"/>
      <w:r w:rsidR="005152BF">
        <w:rPr>
          <w:color w:val="000000" w:themeColor="text1"/>
        </w:rPr>
        <w:t>C</w:t>
      </w:r>
      <w:r w:rsidR="005152BF" w:rsidRPr="009B2FBF">
        <w:rPr>
          <w:color w:val="000000" w:themeColor="text1"/>
          <w:vertAlign w:val="subscript"/>
        </w:rPr>
        <w:t>Rn</w:t>
      </w:r>
      <w:proofErr w:type="spellEnd"/>
      <w:r w:rsidR="005152BF">
        <w:rPr>
          <w:color w:val="000000" w:themeColor="text1"/>
        </w:rPr>
        <w:t xml:space="preserve"> in </w:t>
      </w:r>
      <w:r w:rsidR="00950250">
        <w:rPr>
          <w:color w:val="000000" w:themeColor="text1"/>
        </w:rPr>
        <w:t xml:space="preserve">marble and granite </w:t>
      </w:r>
      <w:r w:rsidR="005152BF">
        <w:rPr>
          <w:color w:val="000000" w:themeColor="text1"/>
        </w:rPr>
        <w:t>samples.</w:t>
      </w:r>
    </w:p>
    <w:p w14:paraId="66B1D6B5" w14:textId="77777777" w:rsidR="00C434EF" w:rsidRDefault="00C434EF" w:rsidP="001B40B1">
      <w:pPr>
        <w:pStyle w:val="BodyTextIndent"/>
        <w:ind w:firstLine="0"/>
        <w:rPr>
          <w:color w:val="000000" w:themeColor="text1"/>
        </w:rPr>
      </w:pPr>
    </w:p>
    <w:p w14:paraId="56B93427" w14:textId="149F623A" w:rsidR="00BA5B19" w:rsidRPr="00C64B0F" w:rsidRDefault="00E7379D" w:rsidP="00C64B0F">
      <w:pPr>
        <w:rPr>
          <w:color w:val="000000" w:themeColor="text1"/>
          <w:sz w:val="22"/>
          <w:szCs w:val="22"/>
        </w:rPr>
      </w:pPr>
      <w:r w:rsidRPr="00B85AD7">
        <w:rPr>
          <w:color w:val="000000" w:themeColor="text1"/>
          <w:sz w:val="22"/>
          <w:szCs w:val="22"/>
        </w:rPr>
        <w:t>The E</w:t>
      </w:r>
      <w:r w:rsidRPr="00B85AD7">
        <w:rPr>
          <w:color w:val="000000" w:themeColor="text1"/>
          <w:sz w:val="22"/>
          <w:szCs w:val="22"/>
          <w:vertAlign w:val="subscript"/>
        </w:rPr>
        <w:t>S</w:t>
      </w:r>
      <w:r w:rsidRPr="00B85AD7">
        <w:rPr>
          <w:color w:val="000000" w:themeColor="text1"/>
          <w:sz w:val="22"/>
          <w:szCs w:val="22"/>
        </w:rPr>
        <w:t xml:space="preserve"> </w:t>
      </w:r>
      <w:r w:rsidR="008E7DAE">
        <w:rPr>
          <w:color w:val="000000" w:themeColor="text1"/>
          <w:sz w:val="22"/>
          <w:szCs w:val="22"/>
        </w:rPr>
        <w:t xml:space="preserve">values </w:t>
      </w:r>
      <w:r w:rsidRPr="00B85AD7">
        <w:rPr>
          <w:color w:val="000000" w:themeColor="text1"/>
          <w:sz w:val="22"/>
          <w:szCs w:val="22"/>
        </w:rPr>
        <w:t>for all samples varied from 0.72 ± 0.23 Bq m</w:t>
      </w:r>
      <w:r w:rsidRPr="00B85AD7">
        <w:rPr>
          <w:color w:val="000000" w:themeColor="text1"/>
          <w:sz w:val="22"/>
          <w:szCs w:val="22"/>
          <w:vertAlign w:val="superscript"/>
        </w:rPr>
        <w:t>-2</w:t>
      </w:r>
      <w:r w:rsidRPr="00B85AD7">
        <w:rPr>
          <w:color w:val="000000" w:themeColor="text1"/>
          <w:sz w:val="22"/>
          <w:szCs w:val="22"/>
        </w:rPr>
        <w:t>h</w:t>
      </w:r>
      <w:r w:rsidRPr="00B85AD7">
        <w:rPr>
          <w:color w:val="000000" w:themeColor="text1"/>
          <w:sz w:val="22"/>
          <w:szCs w:val="22"/>
          <w:vertAlign w:val="superscript"/>
        </w:rPr>
        <w:t>-1</w:t>
      </w:r>
      <w:r w:rsidRPr="00B85AD7">
        <w:rPr>
          <w:color w:val="000000" w:themeColor="text1"/>
          <w:sz w:val="22"/>
          <w:szCs w:val="22"/>
        </w:rPr>
        <w:t xml:space="preserve"> to 3.13 ± 0.46 Bq m</w:t>
      </w:r>
      <w:r w:rsidRPr="00B85AD7">
        <w:rPr>
          <w:color w:val="000000" w:themeColor="text1"/>
          <w:sz w:val="22"/>
          <w:szCs w:val="22"/>
          <w:vertAlign w:val="superscript"/>
        </w:rPr>
        <w:t>-2</w:t>
      </w:r>
      <w:r w:rsidRPr="00B85AD7">
        <w:rPr>
          <w:color w:val="000000" w:themeColor="text1"/>
          <w:sz w:val="22"/>
          <w:szCs w:val="22"/>
        </w:rPr>
        <w:t>h</w:t>
      </w:r>
      <w:r w:rsidRPr="00B85AD7">
        <w:rPr>
          <w:color w:val="000000" w:themeColor="text1"/>
          <w:sz w:val="22"/>
          <w:szCs w:val="22"/>
          <w:vertAlign w:val="superscript"/>
        </w:rPr>
        <w:t>-1</w:t>
      </w:r>
      <w:r w:rsidRPr="00B85AD7">
        <w:rPr>
          <w:color w:val="000000" w:themeColor="text1"/>
          <w:sz w:val="22"/>
          <w:szCs w:val="22"/>
        </w:rPr>
        <w:t>, with an average of 1.56 ± 1.02 Bq m</w:t>
      </w:r>
      <w:r w:rsidRPr="00B85AD7">
        <w:rPr>
          <w:color w:val="000000" w:themeColor="text1"/>
          <w:sz w:val="22"/>
          <w:szCs w:val="22"/>
          <w:vertAlign w:val="superscript"/>
        </w:rPr>
        <w:t>-2</w:t>
      </w:r>
      <w:r w:rsidRPr="00B85AD7">
        <w:rPr>
          <w:color w:val="000000" w:themeColor="text1"/>
          <w:sz w:val="22"/>
          <w:szCs w:val="22"/>
        </w:rPr>
        <w:t>h</w:t>
      </w:r>
      <w:r w:rsidRPr="00B85AD7">
        <w:rPr>
          <w:color w:val="000000" w:themeColor="text1"/>
          <w:sz w:val="22"/>
          <w:szCs w:val="22"/>
          <w:vertAlign w:val="superscript"/>
        </w:rPr>
        <w:t>-1</w:t>
      </w:r>
      <w:r w:rsidR="00BA0C61" w:rsidRPr="00B85AD7">
        <w:rPr>
          <w:color w:val="000000" w:themeColor="text1"/>
          <w:sz w:val="22"/>
          <w:szCs w:val="22"/>
        </w:rPr>
        <w:t xml:space="preserve">. </w:t>
      </w:r>
      <w:r w:rsidR="005E3E42" w:rsidRPr="00B85AD7">
        <w:rPr>
          <w:color w:val="000000" w:themeColor="text1"/>
          <w:sz w:val="22"/>
          <w:szCs w:val="22"/>
        </w:rPr>
        <w:t>The estimated E</w:t>
      </w:r>
      <w:r w:rsidR="005E3E42" w:rsidRPr="00B85AD7">
        <w:rPr>
          <w:color w:val="000000" w:themeColor="text1"/>
          <w:sz w:val="22"/>
          <w:szCs w:val="22"/>
          <w:vertAlign w:val="subscript"/>
        </w:rPr>
        <w:t>M</w:t>
      </w:r>
      <w:r w:rsidR="005E3E42" w:rsidRPr="00B85AD7">
        <w:rPr>
          <w:color w:val="000000" w:themeColor="text1"/>
          <w:sz w:val="22"/>
          <w:szCs w:val="22"/>
        </w:rPr>
        <w:t xml:space="preserve"> for samples varied from </w:t>
      </w:r>
      <w:r w:rsidR="005E3E42" w:rsidRPr="00B85AD7">
        <w:rPr>
          <w:color w:val="000000"/>
          <w:sz w:val="22"/>
          <w:szCs w:val="22"/>
        </w:rPr>
        <w:t xml:space="preserve">14.62 ± 5.80 </w:t>
      </w:r>
      <w:proofErr w:type="spellStart"/>
      <w:r w:rsidR="005E3E42" w:rsidRPr="00B85AD7">
        <w:rPr>
          <w:color w:val="000000"/>
          <w:sz w:val="22"/>
          <w:szCs w:val="22"/>
        </w:rPr>
        <w:t>m</w:t>
      </w:r>
      <w:r w:rsidR="005E3E42" w:rsidRPr="00B85AD7">
        <w:rPr>
          <w:color w:val="000000" w:themeColor="text1"/>
          <w:sz w:val="22"/>
          <w:szCs w:val="22"/>
        </w:rPr>
        <w:t>Bq</w:t>
      </w:r>
      <w:proofErr w:type="spellEnd"/>
      <w:r w:rsidR="005E3E42" w:rsidRPr="00B85AD7">
        <w:rPr>
          <w:color w:val="000000" w:themeColor="text1"/>
          <w:sz w:val="22"/>
          <w:szCs w:val="22"/>
        </w:rPr>
        <w:t xml:space="preserve"> kg</w:t>
      </w:r>
      <w:r w:rsidR="005E3E42" w:rsidRPr="00B85AD7">
        <w:rPr>
          <w:color w:val="000000" w:themeColor="text1"/>
          <w:sz w:val="22"/>
          <w:szCs w:val="22"/>
          <w:vertAlign w:val="superscript"/>
        </w:rPr>
        <w:t>-1</w:t>
      </w:r>
      <w:r w:rsidR="005E3E42" w:rsidRPr="00B85AD7">
        <w:rPr>
          <w:color w:val="000000" w:themeColor="text1"/>
          <w:sz w:val="22"/>
          <w:szCs w:val="22"/>
        </w:rPr>
        <w:t>h</w:t>
      </w:r>
      <w:r w:rsidR="005E3E42" w:rsidRPr="00B85AD7">
        <w:rPr>
          <w:color w:val="000000" w:themeColor="text1"/>
          <w:sz w:val="22"/>
          <w:szCs w:val="22"/>
          <w:vertAlign w:val="superscript"/>
        </w:rPr>
        <w:t>-1</w:t>
      </w:r>
      <w:r w:rsidR="005E3E42" w:rsidRPr="00B85AD7">
        <w:rPr>
          <w:color w:val="000000"/>
          <w:sz w:val="22"/>
          <w:szCs w:val="22"/>
        </w:rPr>
        <w:t xml:space="preserve"> to 68.75 ± 10.00 </w:t>
      </w:r>
      <w:proofErr w:type="spellStart"/>
      <w:r w:rsidR="005E3E42" w:rsidRPr="00B85AD7">
        <w:rPr>
          <w:color w:val="000000"/>
          <w:sz w:val="22"/>
          <w:szCs w:val="22"/>
        </w:rPr>
        <w:t>m</w:t>
      </w:r>
      <w:r w:rsidR="005E3E42" w:rsidRPr="00B85AD7">
        <w:rPr>
          <w:color w:val="000000" w:themeColor="text1"/>
          <w:sz w:val="22"/>
          <w:szCs w:val="22"/>
        </w:rPr>
        <w:t>Bq</w:t>
      </w:r>
      <w:proofErr w:type="spellEnd"/>
      <w:r w:rsidR="005E3E42" w:rsidRPr="00B85AD7">
        <w:rPr>
          <w:color w:val="000000" w:themeColor="text1"/>
          <w:sz w:val="22"/>
          <w:szCs w:val="22"/>
        </w:rPr>
        <w:t xml:space="preserve"> kg</w:t>
      </w:r>
      <w:r w:rsidR="005E3E42" w:rsidRPr="00B85AD7">
        <w:rPr>
          <w:color w:val="000000" w:themeColor="text1"/>
          <w:sz w:val="22"/>
          <w:szCs w:val="22"/>
          <w:vertAlign w:val="superscript"/>
        </w:rPr>
        <w:t>-1</w:t>
      </w:r>
      <w:r w:rsidR="005E3E42" w:rsidRPr="00B85AD7">
        <w:rPr>
          <w:color w:val="000000" w:themeColor="text1"/>
          <w:sz w:val="22"/>
          <w:szCs w:val="22"/>
        </w:rPr>
        <w:t>h</w:t>
      </w:r>
      <w:r w:rsidR="005E3E42" w:rsidRPr="00B85AD7">
        <w:rPr>
          <w:color w:val="000000" w:themeColor="text1"/>
          <w:sz w:val="22"/>
          <w:szCs w:val="22"/>
          <w:vertAlign w:val="superscript"/>
        </w:rPr>
        <w:t>-1</w:t>
      </w:r>
      <w:r w:rsidR="005E3E42" w:rsidRPr="00B85AD7">
        <w:rPr>
          <w:color w:val="000000" w:themeColor="text1"/>
          <w:sz w:val="22"/>
          <w:szCs w:val="22"/>
        </w:rPr>
        <w:t xml:space="preserve"> with an average of </w:t>
      </w:r>
      <w:r w:rsidR="005E3E42" w:rsidRPr="00B85AD7">
        <w:rPr>
          <w:rFonts w:eastAsia="Times New Roman"/>
          <w:color w:val="000000"/>
          <w:sz w:val="22"/>
          <w:szCs w:val="22"/>
        </w:rPr>
        <w:t>32.20 ± 21.84</w:t>
      </w:r>
      <w:r w:rsidR="005E3E42" w:rsidRPr="00B85AD7">
        <w:rPr>
          <w:color w:val="000000" w:themeColor="text1"/>
          <w:sz w:val="22"/>
          <w:szCs w:val="22"/>
        </w:rPr>
        <w:t xml:space="preserve"> </w:t>
      </w:r>
      <w:proofErr w:type="spellStart"/>
      <w:r w:rsidR="005E3E42" w:rsidRPr="00B85AD7">
        <w:rPr>
          <w:color w:val="000000" w:themeColor="text1"/>
          <w:sz w:val="22"/>
          <w:szCs w:val="22"/>
        </w:rPr>
        <w:t>mBq</w:t>
      </w:r>
      <w:proofErr w:type="spellEnd"/>
      <w:r w:rsidR="005E3E42" w:rsidRPr="00B85AD7">
        <w:rPr>
          <w:color w:val="000000" w:themeColor="text1"/>
          <w:sz w:val="22"/>
          <w:szCs w:val="22"/>
        </w:rPr>
        <w:t xml:space="preserve"> kg</w:t>
      </w:r>
      <w:r w:rsidR="005E3E42" w:rsidRPr="00B85AD7">
        <w:rPr>
          <w:color w:val="000000" w:themeColor="text1"/>
          <w:sz w:val="22"/>
          <w:szCs w:val="22"/>
          <w:vertAlign w:val="superscript"/>
        </w:rPr>
        <w:t>-1</w:t>
      </w:r>
      <w:r w:rsidR="005E3E42" w:rsidRPr="00B85AD7">
        <w:rPr>
          <w:color w:val="000000" w:themeColor="text1"/>
          <w:sz w:val="22"/>
          <w:szCs w:val="22"/>
        </w:rPr>
        <w:t>h</w:t>
      </w:r>
      <w:r w:rsidR="005E3E42" w:rsidRPr="00B85AD7">
        <w:rPr>
          <w:color w:val="000000" w:themeColor="text1"/>
          <w:sz w:val="22"/>
          <w:szCs w:val="22"/>
          <w:vertAlign w:val="superscript"/>
        </w:rPr>
        <w:t>-1</w:t>
      </w:r>
      <w:r w:rsidR="005E3E42" w:rsidRPr="00B85AD7">
        <w:rPr>
          <w:color w:val="000000" w:themeColor="text1"/>
          <w:sz w:val="22"/>
          <w:szCs w:val="22"/>
        </w:rPr>
        <w:t xml:space="preserve">. </w:t>
      </w:r>
      <w:r w:rsidR="00BA0C61" w:rsidRPr="00B85AD7">
        <w:rPr>
          <w:color w:val="000000" w:themeColor="text1"/>
          <w:sz w:val="22"/>
          <w:szCs w:val="22"/>
        </w:rPr>
        <w:t xml:space="preserve">Fig 4 </w:t>
      </w:r>
      <w:r w:rsidR="002365BC" w:rsidRPr="00B85AD7">
        <w:rPr>
          <w:color w:val="000000" w:themeColor="text1"/>
          <w:sz w:val="22"/>
          <w:szCs w:val="22"/>
        </w:rPr>
        <w:t>indicates</w:t>
      </w:r>
      <w:r w:rsidRPr="00B85AD7">
        <w:rPr>
          <w:color w:val="000000" w:themeColor="text1"/>
          <w:sz w:val="22"/>
          <w:szCs w:val="22"/>
        </w:rPr>
        <w:t xml:space="preserve"> that granite </w:t>
      </w:r>
      <w:r w:rsidR="00042A2D" w:rsidRPr="00B85AD7">
        <w:rPr>
          <w:color w:val="000000" w:themeColor="text1"/>
          <w:sz w:val="22"/>
          <w:szCs w:val="22"/>
        </w:rPr>
        <w:t>samples,</w:t>
      </w:r>
      <w:r w:rsidR="00361FDC" w:rsidRPr="00B85AD7">
        <w:rPr>
          <w:color w:val="000000" w:themeColor="text1"/>
          <w:sz w:val="22"/>
          <w:szCs w:val="22"/>
        </w:rPr>
        <w:t xml:space="preserve"> particularly S4 and S5</w:t>
      </w:r>
      <w:r w:rsidRPr="00B85AD7">
        <w:rPr>
          <w:color w:val="000000" w:themeColor="text1"/>
          <w:sz w:val="22"/>
          <w:szCs w:val="22"/>
        </w:rPr>
        <w:t xml:space="preserve"> </w:t>
      </w:r>
      <w:r w:rsidR="00361FDC" w:rsidRPr="00B85AD7">
        <w:rPr>
          <w:color w:val="000000" w:themeColor="text1"/>
          <w:sz w:val="22"/>
          <w:szCs w:val="22"/>
        </w:rPr>
        <w:t>have</w:t>
      </w:r>
      <w:r w:rsidRPr="00B85AD7">
        <w:rPr>
          <w:color w:val="000000" w:themeColor="text1"/>
          <w:sz w:val="22"/>
          <w:szCs w:val="22"/>
        </w:rPr>
        <w:t xml:space="preserve"> </w:t>
      </w:r>
      <w:r w:rsidR="004B2089">
        <w:rPr>
          <w:color w:val="000000" w:themeColor="text1"/>
          <w:sz w:val="22"/>
          <w:szCs w:val="22"/>
        </w:rPr>
        <w:t xml:space="preserve">2 to 3 times </w:t>
      </w:r>
      <w:r w:rsidRPr="00B85AD7">
        <w:rPr>
          <w:color w:val="000000" w:themeColor="text1"/>
          <w:sz w:val="22"/>
          <w:szCs w:val="22"/>
        </w:rPr>
        <w:t>higher radon exhalation rates</w:t>
      </w:r>
      <w:r w:rsidR="00950733" w:rsidRPr="00B85AD7">
        <w:rPr>
          <w:color w:val="000000" w:themeColor="text1"/>
          <w:sz w:val="22"/>
          <w:szCs w:val="22"/>
        </w:rPr>
        <w:t xml:space="preserve"> (E</w:t>
      </w:r>
      <w:r w:rsidR="00950733" w:rsidRPr="00B85AD7">
        <w:rPr>
          <w:color w:val="000000" w:themeColor="text1"/>
          <w:sz w:val="22"/>
          <w:szCs w:val="22"/>
          <w:vertAlign w:val="subscript"/>
        </w:rPr>
        <w:t>S</w:t>
      </w:r>
      <w:r w:rsidR="00950733" w:rsidRPr="00B85AD7">
        <w:rPr>
          <w:color w:val="000000" w:themeColor="text1"/>
          <w:sz w:val="22"/>
          <w:szCs w:val="22"/>
        </w:rPr>
        <w:t xml:space="preserve"> &amp; E</w:t>
      </w:r>
      <w:r w:rsidR="00950733" w:rsidRPr="00B85AD7">
        <w:rPr>
          <w:color w:val="000000" w:themeColor="text1"/>
          <w:sz w:val="22"/>
          <w:szCs w:val="22"/>
          <w:vertAlign w:val="subscript"/>
        </w:rPr>
        <w:t>M</w:t>
      </w:r>
      <w:r w:rsidR="00950733" w:rsidRPr="00B85AD7">
        <w:rPr>
          <w:color w:val="000000" w:themeColor="text1"/>
          <w:sz w:val="22"/>
          <w:szCs w:val="22"/>
        </w:rPr>
        <w:t>)</w:t>
      </w:r>
      <w:r w:rsidR="00CB21D4" w:rsidRPr="00B85AD7">
        <w:rPr>
          <w:color w:val="000000" w:themeColor="text1"/>
          <w:sz w:val="22"/>
          <w:szCs w:val="22"/>
        </w:rPr>
        <w:t xml:space="preserve"> than marble</w:t>
      </w:r>
      <w:r w:rsidRPr="00B85AD7">
        <w:rPr>
          <w:color w:val="000000" w:themeColor="text1"/>
          <w:sz w:val="22"/>
          <w:szCs w:val="22"/>
        </w:rPr>
        <w:t xml:space="preserve"> due to higher </w:t>
      </w:r>
      <w:r w:rsidR="00F93E85" w:rsidRPr="00B85AD7">
        <w:rPr>
          <w:color w:val="000000" w:themeColor="text1"/>
          <w:sz w:val="22"/>
          <w:szCs w:val="22"/>
        </w:rPr>
        <w:t xml:space="preserve">measured </w:t>
      </w:r>
      <w:r w:rsidR="000C7BB5" w:rsidRPr="000C7BB5">
        <w:rPr>
          <w:color w:val="000000" w:themeColor="text1"/>
          <w:sz w:val="22"/>
          <w:szCs w:val="22"/>
          <w:vertAlign w:val="superscript"/>
        </w:rPr>
        <w:t>226</w:t>
      </w:r>
      <w:r w:rsidR="000C7BB5">
        <w:rPr>
          <w:color w:val="000000" w:themeColor="text1"/>
          <w:sz w:val="22"/>
          <w:szCs w:val="22"/>
        </w:rPr>
        <w:t>Ra</w:t>
      </w:r>
      <w:r w:rsidRPr="00B85AD7">
        <w:rPr>
          <w:color w:val="000000" w:themeColor="text1"/>
          <w:sz w:val="22"/>
          <w:szCs w:val="22"/>
        </w:rPr>
        <w:t xml:space="preserve"> contents</w:t>
      </w:r>
      <w:r w:rsidR="00C64B0F">
        <w:rPr>
          <w:color w:val="000000" w:themeColor="text1"/>
          <w:sz w:val="22"/>
          <w:szCs w:val="22"/>
        </w:rPr>
        <w:t xml:space="preserve"> (</w:t>
      </w:r>
      <w:r w:rsidR="00C64B0F" w:rsidRPr="00910CFA">
        <w:rPr>
          <w:sz w:val="22"/>
          <w:szCs w:val="22"/>
        </w:rPr>
        <w:t>24.20 ± 4.05 to 75.18 ± 6.70 Bq kg</w:t>
      </w:r>
      <w:r w:rsidR="00C64B0F" w:rsidRPr="00910CFA">
        <w:rPr>
          <w:sz w:val="22"/>
          <w:szCs w:val="22"/>
          <w:vertAlign w:val="superscript"/>
        </w:rPr>
        <w:t>-1</w:t>
      </w:r>
      <w:r w:rsidR="00C64B0F" w:rsidRPr="000F3238">
        <w:rPr>
          <w:sz w:val="22"/>
          <w:szCs w:val="22"/>
        </w:rPr>
        <w:t xml:space="preserve"> for granite and </w:t>
      </w:r>
      <w:r w:rsidR="00C64B0F" w:rsidRPr="00910CFA">
        <w:rPr>
          <w:sz w:val="22"/>
          <w:szCs w:val="22"/>
        </w:rPr>
        <w:t xml:space="preserve">18.10 ± 3.76 </w:t>
      </w:r>
      <w:r w:rsidR="00C64B0F" w:rsidRPr="000F3238">
        <w:rPr>
          <w:sz w:val="22"/>
          <w:szCs w:val="22"/>
        </w:rPr>
        <w:t>to</w:t>
      </w:r>
      <w:r w:rsidR="00C64B0F" w:rsidRPr="00910CFA">
        <w:rPr>
          <w:sz w:val="22"/>
          <w:szCs w:val="22"/>
        </w:rPr>
        <w:t xml:space="preserve"> 21.83 ± 5.17 Bq kg</w:t>
      </w:r>
      <w:r w:rsidR="00C64B0F" w:rsidRPr="00910CFA">
        <w:rPr>
          <w:sz w:val="22"/>
          <w:szCs w:val="22"/>
          <w:vertAlign w:val="superscript"/>
        </w:rPr>
        <w:t>-1</w:t>
      </w:r>
      <w:r w:rsidR="00C64B0F" w:rsidRPr="000F3238">
        <w:rPr>
          <w:sz w:val="22"/>
          <w:szCs w:val="22"/>
        </w:rPr>
        <w:t xml:space="preserve"> for marble</w:t>
      </w:r>
      <w:r w:rsidR="00C64B0F">
        <w:rPr>
          <w:color w:val="000000" w:themeColor="text1"/>
          <w:sz w:val="22"/>
          <w:szCs w:val="22"/>
        </w:rPr>
        <w:t>)</w:t>
      </w:r>
      <w:r w:rsidRPr="00B85AD7">
        <w:rPr>
          <w:color w:val="000000" w:themeColor="text1"/>
          <w:sz w:val="22"/>
          <w:szCs w:val="22"/>
        </w:rPr>
        <w:t>.</w:t>
      </w:r>
      <w:r w:rsidR="00FE7E91" w:rsidRPr="00B85AD7">
        <w:rPr>
          <w:color w:val="000000" w:themeColor="text1"/>
          <w:sz w:val="22"/>
          <w:szCs w:val="22"/>
        </w:rPr>
        <w:t xml:space="preserve"> In addition, other factors like larger surface area which contributed to higher ion exchange as well as adsorption capacities and porosity may also contribute to radon release, particularly in coarse-grained granites.</w:t>
      </w:r>
      <w:r w:rsidR="00BA5B19" w:rsidRPr="00B85AD7">
        <w:rPr>
          <w:color w:val="000000" w:themeColor="text1"/>
          <w:sz w:val="22"/>
          <w:szCs w:val="22"/>
        </w:rPr>
        <w:t xml:space="preserve"> All samples exhibited E</w:t>
      </w:r>
      <w:r w:rsidR="00BA5B19" w:rsidRPr="00B85AD7">
        <w:rPr>
          <w:color w:val="000000" w:themeColor="text1"/>
          <w:sz w:val="22"/>
          <w:szCs w:val="22"/>
          <w:vertAlign w:val="subscript"/>
        </w:rPr>
        <w:t>S</w:t>
      </w:r>
      <w:r w:rsidR="00BA5B19" w:rsidRPr="00B85AD7">
        <w:rPr>
          <w:color w:val="000000" w:themeColor="text1"/>
          <w:sz w:val="22"/>
          <w:szCs w:val="22"/>
        </w:rPr>
        <w:t xml:space="preserve"> and E</w:t>
      </w:r>
      <w:r w:rsidR="00BA5B19" w:rsidRPr="00B85AD7">
        <w:rPr>
          <w:color w:val="000000" w:themeColor="text1"/>
          <w:sz w:val="22"/>
          <w:szCs w:val="22"/>
          <w:vertAlign w:val="subscript"/>
        </w:rPr>
        <w:t>M</w:t>
      </w:r>
      <w:r w:rsidR="00BA5B19" w:rsidRPr="00B85AD7">
        <w:rPr>
          <w:color w:val="000000" w:themeColor="text1"/>
          <w:sz w:val="22"/>
          <w:szCs w:val="22"/>
        </w:rPr>
        <w:t xml:space="preserve"> values significantly lower than the global average or world limits, which are 0.016 Bq m</w:t>
      </w:r>
      <w:r w:rsidR="00BA5B19" w:rsidRPr="00B85AD7">
        <w:rPr>
          <w:color w:val="000000" w:themeColor="text1"/>
          <w:sz w:val="22"/>
          <w:szCs w:val="22"/>
          <w:vertAlign w:val="superscript"/>
        </w:rPr>
        <w:t>-2</w:t>
      </w:r>
      <w:r w:rsidR="00BA5B19" w:rsidRPr="00B85AD7">
        <w:rPr>
          <w:color w:val="000000" w:themeColor="text1"/>
          <w:sz w:val="22"/>
          <w:szCs w:val="22"/>
        </w:rPr>
        <w:t xml:space="preserve"> s</w:t>
      </w:r>
      <w:r w:rsidR="00BA5B19" w:rsidRPr="00B85AD7">
        <w:rPr>
          <w:color w:val="000000" w:themeColor="text1"/>
          <w:sz w:val="22"/>
          <w:szCs w:val="22"/>
          <w:vertAlign w:val="superscript"/>
        </w:rPr>
        <w:t>-1</w:t>
      </w:r>
      <w:r w:rsidR="00BA5B19" w:rsidRPr="00B85AD7">
        <w:rPr>
          <w:color w:val="000000" w:themeColor="text1"/>
          <w:sz w:val="22"/>
          <w:szCs w:val="22"/>
        </w:rPr>
        <w:t xml:space="preserve"> or 57.6 Bqm</w:t>
      </w:r>
      <w:r w:rsidR="00BA5B19" w:rsidRPr="00B85AD7">
        <w:rPr>
          <w:color w:val="000000" w:themeColor="text1"/>
          <w:sz w:val="22"/>
          <w:szCs w:val="22"/>
          <w:vertAlign w:val="superscript"/>
        </w:rPr>
        <w:t>-2</w:t>
      </w:r>
      <w:r w:rsidR="00BA5B19" w:rsidRPr="00B85AD7">
        <w:rPr>
          <w:color w:val="000000" w:themeColor="text1"/>
          <w:sz w:val="22"/>
          <w:szCs w:val="22"/>
        </w:rPr>
        <w:t>h</w:t>
      </w:r>
      <w:r w:rsidR="00BA5B19" w:rsidRPr="00B85AD7">
        <w:rPr>
          <w:color w:val="000000" w:themeColor="text1"/>
          <w:sz w:val="22"/>
          <w:szCs w:val="22"/>
          <w:vertAlign w:val="superscript"/>
        </w:rPr>
        <w:t>-1</w:t>
      </w:r>
      <w:r w:rsidR="00BA5B19" w:rsidRPr="00B85AD7">
        <w:rPr>
          <w:color w:val="000000" w:themeColor="text1"/>
          <w:sz w:val="22"/>
          <w:szCs w:val="22"/>
        </w:rPr>
        <w:t xml:space="preserve"> for surface exhalation rate and 35 Bq kg</w:t>
      </w:r>
      <w:r w:rsidR="00BA5B19" w:rsidRPr="00B85AD7">
        <w:rPr>
          <w:color w:val="000000" w:themeColor="text1"/>
          <w:sz w:val="22"/>
          <w:szCs w:val="22"/>
          <w:vertAlign w:val="superscript"/>
        </w:rPr>
        <w:t>-1</w:t>
      </w:r>
      <w:r w:rsidR="00BA5B19" w:rsidRPr="00B85AD7">
        <w:rPr>
          <w:color w:val="000000" w:themeColor="text1"/>
          <w:sz w:val="22"/>
          <w:szCs w:val="22"/>
        </w:rPr>
        <w:t>h</w:t>
      </w:r>
      <w:r w:rsidR="00BA5B19" w:rsidRPr="00B85AD7">
        <w:rPr>
          <w:color w:val="000000" w:themeColor="text1"/>
          <w:sz w:val="22"/>
          <w:szCs w:val="22"/>
          <w:vertAlign w:val="superscript"/>
        </w:rPr>
        <w:t>-1</w:t>
      </w:r>
      <w:r w:rsidR="00BA5B19" w:rsidRPr="00B85AD7">
        <w:rPr>
          <w:color w:val="000000" w:themeColor="text1"/>
          <w:sz w:val="22"/>
          <w:szCs w:val="22"/>
        </w:rPr>
        <w:t xml:space="preserve"> for mass exhalation </w:t>
      </w:r>
      <w:r w:rsidR="00BA5B19" w:rsidRPr="005B2B87">
        <w:rPr>
          <w:color w:val="000000" w:themeColor="text1"/>
          <w:sz w:val="22"/>
          <w:szCs w:val="22"/>
        </w:rPr>
        <w:t>rate</w:t>
      </w:r>
      <w:r w:rsidR="00C434EF" w:rsidRPr="005B2B87">
        <w:rPr>
          <w:color w:val="000000" w:themeColor="text1"/>
          <w:sz w:val="22"/>
          <w:szCs w:val="22"/>
        </w:rPr>
        <w:t xml:space="preserve"> </w:t>
      </w:r>
      <w:r w:rsidR="00B759B8">
        <w:rPr>
          <w:color w:val="000000" w:themeColor="text1"/>
          <w:sz w:val="22"/>
          <w:szCs w:val="22"/>
        </w:rPr>
        <w:t>[</w:t>
      </w:r>
      <w:r w:rsidR="007379A6">
        <w:rPr>
          <w:color w:val="000000" w:themeColor="text1"/>
          <w:sz w:val="22"/>
          <w:szCs w:val="22"/>
        </w:rPr>
        <w:t>3</w:t>
      </w:r>
      <w:r w:rsidR="00B759B8">
        <w:rPr>
          <w:color w:val="000000" w:themeColor="text1"/>
          <w:sz w:val="22"/>
          <w:szCs w:val="22"/>
        </w:rPr>
        <w:t>]</w:t>
      </w:r>
      <w:r w:rsidR="00BA5B19" w:rsidRPr="00B85AD7">
        <w:rPr>
          <w:color w:val="000000" w:themeColor="text1"/>
          <w:sz w:val="22"/>
          <w:szCs w:val="22"/>
        </w:rPr>
        <w:t>.</w:t>
      </w:r>
    </w:p>
    <w:p w14:paraId="63BAD812" w14:textId="6396259C" w:rsidR="00C434EF" w:rsidRDefault="00F10334" w:rsidP="00C434EF">
      <w:pPr>
        <w:rPr>
          <w:color w:val="000000" w:themeColor="text1"/>
          <w:sz w:val="22"/>
          <w:szCs w:val="22"/>
        </w:rPr>
      </w:pPr>
      <w:r w:rsidRPr="00B85AD7">
        <w:rPr>
          <w:color w:val="000000" w:themeColor="text1"/>
          <w:sz w:val="22"/>
          <w:szCs w:val="22"/>
        </w:rPr>
        <w:t>The C</w:t>
      </w:r>
      <w:r w:rsidRPr="00B85AD7">
        <w:rPr>
          <w:color w:val="000000" w:themeColor="text1"/>
          <w:sz w:val="22"/>
          <w:szCs w:val="22"/>
          <w:vertAlign w:val="subscript"/>
        </w:rPr>
        <w:t>in</w:t>
      </w:r>
      <w:r w:rsidRPr="00B85AD7">
        <w:rPr>
          <w:color w:val="000000" w:themeColor="text1"/>
          <w:sz w:val="22"/>
          <w:szCs w:val="22"/>
        </w:rPr>
        <w:t xml:space="preserve"> across all </w:t>
      </w:r>
      <w:r w:rsidRPr="004F551B">
        <w:rPr>
          <w:color w:val="000000" w:themeColor="text1"/>
          <w:sz w:val="22"/>
          <w:szCs w:val="22"/>
        </w:rPr>
        <w:t xml:space="preserve">samples ranged from </w:t>
      </w:r>
      <w:r w:rsidRPr="004F551B">
        <w:rPr>
          <w:color w:val="000000"/>
          <w:sz w:val="22"/>
          <w:szCs w:val="22"/>
        </w:rPr>
        <w:t>0.</w:t>
      </w:r>
      <w:r w:rsidR="0018646C">
        <w:rPr>
          <w:color w:val="000000"/>
          <w:sz w:val="22"/>
          <w:szCs w:val="22"/>
        </w:rPr>
        <w:t>57</w:t>
      </w:r>
      <w:r w:rsidRPr="004F551B">
        <w:rPr>
          <w:color w:val="000000"/>
          <w:sz w:val="22"/>
          <w:szCs w:val="22"/>
        </w:rPr>
        <w:t xml:space="preserve"> ± 0.2</w:t>
      </w:r>
      <w:r w:rsidR="0018646C">
        <w:rPr>
          <w:color w:val="000000"/>
          <w:sz w:val="22"/>
          <w:szCs w:val="22"/>
        </w:rPr>
        <w:t>0</w:t>
      </w:r>
      <w:r w:rsidRPr="004F551B">
        <w:rPr>
          <w:color w:val="000000" w:themeColor="text1"/>
          <w:sz w:val="22"/>
          <w:szCs w:val="22"/>
        </w:rPr>
        <w:t xml:space="preserve"> Bq m</w:t>
      </w:r>
      <w:r w:rsidRPr="004F551B">
        <w:rPr>
          <w:color w:val="000000" w:themeColor="text1"/>
          <w:sz w:val="22"/>
          <w:szCs w:val="22"/>
          <w:vertAlign w:val="superscript"/>
        </w:rPr>
        <w:t>-3</w:t>
      </w:r>
      <w:r w:rsidRPr="004F551B">
        <w:rPr>
          <w:color w:val="000000" w:themeColor="text1"/>
          <w:sz w:val="22"/>
          <w:szCs w:val="22"/>
        </w:rPr>
        <w:t xml:space="preserve"> to </w:t>
      </w:r>
      <w:r w:rsidRPr="004F551B">
        <w:rPr>
          <w:color w:val="000000"/>
          <w:sz w:val="22"/>
          <w:szCs w:val="22"/>
        </w:rPr>
        <w:t>25.04 ± 3.68</w:t>
      </w:r>
      <w:r w:rsidRPr="004F551B">
        <w:rPr>
          <w:color w:val="000000" w:themeColor="text1"/>
          <w:sz w:val="22"/>
          <w:szCs w:val="22"/>
        </w:rPr>
        <w:t xml:space="preserve"> Bq m</w:t>
      </w:r>
      <w:r w:rsidRPr="004F551B">
        <w:rPr>
          <w:color w:val="000000" w:themeColor="text1"/>
          <w:sz w:val="22"/>
          <w:szCs w:val="22"/>
          <w:vertAlign w:val="superscript"/>
        </w:rPr>
        <w:t>-3</w:t>
      </w:r>
      <w:r w:rsidRPr="004F551B">
        <w:rPr>
          <w:color w:val="000000" w:themeColor="text1"/>
          <w:sz w:val="22"/>
          <w:szCs w:val="22"/>
        </w:rPr>
        <w:t xml:space="preserve">, obtained by </w:t>
      </w:r>
      <w:r w:rsidR="00C006C9" w:rsidRPr="004F551B">
        <w:rPr>
          <w:color w:val="000000" w:themeColor="text1"/>
          <w:sz w:val="22"/>
          <w:szCs w:val="22"/>
        </w:rPr>
        <w:t>using</w:t>
      </w:r>
      <w:r w:rsidRPr="004F551B">
        <w:rPr>
          <w:color w:val="000000" w:themeColor="text1"/>
          <w:sz w:val="22"/>
          <w:szCs w:val="22"/>
        </w:rPr>
        <w:t xml:space="preserve"> the</w:t>
      </w:r>
      <w:r w:rsidR="00C006C9" w:rsidRPr="004F551B">
        <w:rPr>
          <w:color w:val="000000" w:themeColor="text1"/>
          <w:sz w:val="22"/>
          <w:szCs w:val="22"/>
        </w:rPr>
        <w:t xml:space="preserve"> </w:t>
      </w:r>
      <w:r w:rsidRPr="004F551B">
        <w:rPr>
          <w:color w:val="000000" w:themeColor="text1"/>
          <w:sz w:val="22"/>
          <w:szCs w:val="22"/>
        </w:rPr>
        <w:t>ventilation rate</w:t>
      </w:r>
      <w:r w:rsidR="00C006C9" w:rsidRPr="004F551B">
        <w:rPr>
          <w:color w:val="000000" w:themeColor="text1"/>
          <w:sz w:val="22"/>
          <w:szCs w:val="22"/>
        </w:rPr>
        <w:t xml:space="preserve"> range (</w:t>
      </w:r>
      <w:r w:rsidR="00C006C9" w:rsidRPr="004F551B">
        <w:rPr>
          <w:sz w:val="22"/>
          <w:szCs w:val="22"/>
        </w:rPr>
        <w:t>0.2 h</w:t>
      </w:r>
      <w:r w:rsidR="00C006C9" w:rsidRPr="004F551B">
        <w:rPr>
          <w:sz w:val="22"/>
          <w:szCs w:val="22"/>
          <w:vertAlign w:val="superscript"/>
        </w:rPr>
        <w:t>−1</w:t>
      </w:r>
      <w:r w:rsidR="00C006C9" w:rsidRPr="004F551B">
        <w:rPr>
          <w:sz w:val="22"/>
          <w:szCs w:val="22"/>
        </w:rPr>
        <w:t xml:space="preserve"> to 2 h</w:t>
      </w:r>
      <w:r w:rsidR="00C006C9" w:rsidRPr="004F551B">
        <w:rPr>
          <w:sz w:val="22"/>
          <w:szCs w:val="22"/>
          <w:vertAlign w:val="superscript"/>
        </w:rPr>
        <w:t>−1</w:t>
      </w:r>
      <w:r w:rsidR="00C006C9" w:rsidRPr="004F551B">
        <w:rPr>
          <w:color w:val="000000" w:themeColor="text1"/>
          <w:sz w:val="22"/>
          <w:szCs w:val="22"/>
        </w:rPr>
        <w:t>)</w:t>
      </w:r>
      <w:r w:rsidR="003735B9" w:rsidRPr="004F551B">
        <w:rPr>
          <w:color w:val="000000" w:themeColor="text1"/>
          <w:sz w:val="22"/>
          <w:szCs w:val="22"/>
        </w:rPr>
        <w:t xml:space="preserve"> </w:t>
      </w:r>
      <w:r w:rsidR="003735B9" w:rsidRPr="004F551B">
        <w:rPr>
          <w:sz w:val="22"/>
          <w:szCs w:val="22"/>
        </w:rPr>
        <w:t>with a geometrical mean of 0.63 h</w:t>
      </w:r>
      <w:r w:rsidR="003735B9" w:rsidRPr="004F551B">
        <w:rPr>
          <w:sz w:val="22"/>
          <w:szCs w:val="22"/>
          <w:vertAlign w:val="superscript"/>
        </w:rPr>
        <w:t>−1</w:t>
      </w:r>
      <w:r w:rsidRPr="004F551B">
        <w:rPr>
          <w:color w:val="000000" w:themeColor="text1"/>
          <w:sz w:val="22"/>
          <w:szCs w:val="22"/>
        </w:rPr>
        <w:t xml:space="preserve"> </w:t>
      </w:r>
      <w:r w:rsidR="00C006C9" w:rsidRPr="004F551B">
        <w:rPr>
          <w:color w:val="000000" w:themeColor="text1"/>
          <w:sz w:val="22"/>
          <w:szCs w:val="22"/>
        </w:rPr>
        <w:t>for</w:t>
      </w:r>
      <w:r w:rsidRPr="004F551B">
        <w:rPr>
          <w:color w:val="000000" w:themeColor="text1"/>
          <w:sz w:val="22"/>
          <w:szCs w:val="22"/>
        </w:rPr>
        <w:t xml:space="preserve"> standard room model. </w:t>
      </w:r>
      <w:r w:rsidR="00154422">
        <w:rPr>
          <w:color w:val="000000" w:themeColor="text1"/>
          <w:sz w:val="22"/>
          <w:szCs w:val="22"/>
        </w:rPr>
        <w:t xml:space="preserve">In Fig. </w:t>
      </w:r>
      <w:r w:rsidR="00AE2351">
        <w:rPr>
          <w:color w:val="000000" w:themeColor="text1"/>
          <w:sz w:val="22"/>
          <w:szCs w:val="22"/>
        </w:rPr>
        <w:t>4</w:t>
      </w:r>
      <w:r w:rsidR="000F5AAA">
        <w:rPr>
          <w:color w:val="000000" w:themeColor="text1"/>
          <w:sz w:val="22"/>
          <w:szCs w:val="22"/>
        </w:rPr>
        <w:t>,</w:t>
      </w:r>
      <w:r w:rsidR="00154422">
        <w:rPr>
          <w:color w:val="000000" w:themeColor="text1"/>
          <w:sz w:val="22"/>
          <w:szCs w:val="22"/>
        </w:rPr>
        <w:t xml:space="preserve"> s</w:t>
      </w:r>
      <w:r w:rsidR="00AF617D" w:rsidRPr="004F551B">
        <w:rPr>
          <w:color w:val="000000" w:themeColor="text1"/>
          <w:sz w:val="22"/>
          <w:szCs w:val="22"/>
        </w:rPr>
        <w:t xml:space="preserve">ample (S4) exhibited the highest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C</m:t>
            </m:r>
          </m:e>
          <m:sub>
            <m:r>
              <w:rPr>
                <w:rFonts w:ascii="Cambria Math" w:hAnsi="Cambria Math"/>
                <w:color w:val="000000" w:themeColor="text1"/>
                <w:sz w:val="22"/>
                <w:szCs w:val="22"/>
                <w:vertAlign w:val="subscript"/>
              </w:rPr>
              <m:t>in</m:t>
            </m:r>
          </m:sub>
        </m:sSub>
      </m:oMath>
      <w:r w:rsidR="00AF617D" w:rsidRPr="004F551B">
        <w:rPr>
          <w:color w:val="000000" w:themeColor="text1"/>
          <w:sz w:val="22"/>
          <w:szCs w:val="22"/>
        </w:rPr>
        <w:t xml:space="preserve"> (25.04 ± 3.68 Bq m</w:t>
      </w:r>
      <w:r w:rsidR="00AF617D" w:rsidRPr="004F551B">
        <w:rPr>
          <w:color w:val="000000" w:themeColor="text1"/>
          <w:sz w:val="22"/>
          <w:szCs w:val="22"/>
          <w:vertAlign w:val="superscript"/>
        </w:rPr>
        <w:t>-3</w:t>
      </w:r>
      <w:r w:rsidR="00AF617D" w:rsidRPr="004F551B">
        <w:rPr>
          <w:color w:val="000000" w:themeColor="text1"/>
          <w:sz w:val="22"/>
          <w:szCs w:val="22"/>
        </w:rPr>
        <w:t xml:space="preserve">) at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λ</m:t>
            </m:r>
          </m:e>
          <m:sub>
            <m:r>
              <w:rPr>
                <w:rFonts w:ascii="Cambria Math" w:hAnsi="Cambria Math"/>
                <w:color w:val="000000" w:themeColor="text1"/>
                <w:sz w:val="22"/>
                <w:szCs w:val="22"/>
                <w:vertAlign w:val="subscript"/>
              </w:rPr>
              <m:t>V</m:t>
            </m:r>
          </m:sub>
        </m:sSub>
        <m:r>
          <w:rPr>
            <w:rFonts w:ascii="Cambria Math" w:hAnsi="Cambria Math"/>
            <w:color w:val="000000" w:themeColor="text1"/>
            <w:sz w:val="22"/>
            <w:szCs w:val="22"/>
          </w:rPr>
          <m:t>=0.20</m:t>
        </m:r>
      </m:oMath>
      <w:r w:rsidR="00AF617D" w:rsidRPr="004F551B">
        <w:rPr>
          <w:color w:val="000000" w:themeColor="text1"/>
          <w:sz w:val="22"/>
          <w:szCs w:val="22"/>
        </w:rPr>
        <w:t xml:space="preserve"> h</w:t>
      </w:r>
      <w:r w:rsidR="00AF617D" w:rsidRPr="004F551B">
        <w:rPr>
          <w:color w:val="000000" w:themeColor="text1"/>
          <w:sz w:val="22"/>
          <w:szCs w:val="22"/>
          <w:vertAlign w:val="superscript"/>
        </w:rPr>
        <w:t>-1</w:t>
      </w:r>
      <w:r w:rsidR="00AF617D" w:rsidRPr="004F551B">
        <w:rPr>
          <w:color w:val="000000" w:themeColor="text1"/>
          <w:sz w:val="22"/>
          <w:szCs w:val="22"/>
        </w:rPr>
        <w:t xml:space="preserve">, indicating that granite foundations in poorly ventilated areas may produce potential health risks to individuals whereas the lowest value of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C</m:t>
            </m:r>
          </m:e>
          <m:sub>
            <m:r>
              <w:rPr>
                <w:rFonts w:ascii="Cambria Math" w:hAnsi="Cambria Math"/>
                <w:color w:val="000000" w:themeColor="text1"/>
                <w:sz w:val="22"/>
                <w:szCs w:val="22"/>
                <w:vertAlign w:val="subscript"/>
              </w:rPr>
              <m:t>in</m:t>
            </m:r>
          </m:sub>
        </m:sSub>
      </m:oMath>
      <w:r w:rsidR="00AF617D" w:rsidRPr="00A96CB7">
        <w:rPr>
          <w:color w:val="000000" w:themeColor="text1"/>
          <w:sz w:val="22"/>
          <w:szCs w:val="22"/>
        </w:rPr>
        <w:t xml:space="preserve"> (</w:t>
      </w:r>
      <w:r w:rsidR="00AF617D" w:rsidRPr="00A96CB7">
        <w:rPr>
          <w:color w:val="000000"/>
          <w:sz w:val="22"/>
          <w:szCs w:val="22"/>
        </w:rPr>
        <w:t>0.5</w:t>
      </w:r>
      <w:r w:rsidR="00CB60EB">
        <w:rPr>
          <w:color w:val="000000"/>
          <w:sz w:val="22"/>
          <w:szCs w:val="22"/>
        </w:rPr>
        <w:t>7</w:t>
      </w:r>
      <w:r w:rsidR="00AF617D" w:rsidRPr="00A96CB7">
        <w:rPr>
          <w:color w:val="000000"/>
          <w:sz w:val="22"/>
          <w:szCs w:val="22"/>
        </w:rPr>
        <w:t xml:space="preserve"> ± 0.20 </w:t>
      </w:r>
      <w:r w:rsidR="00AF617D" w:rsidRPr="00A96CB7">
        <w:rPr>
          <w:color w:val="000000" w:themeColor="text1"/>
          <w:sz w:val="22"/>
          <w:szCs w:val="22"/>
        </w:rPr>
        <w:t>Bq m</w:t>
      </w:r>
      <w:r w:rsidR="00AF617D" w:rsidRPr="00A96CB7">
        <w:rPr>
          <w:color w:val="000000" w:themeColor="text1"/>
          <w:sz w:val="22"/>
          <w:szCs w:val="22"/>
          <w:vertAlign w:val="superscript"/>
        </w:rPr>
        <w:t>-3</w:t>
      </w:r>
      <w:r w:rsidR="00AF617D" w:rsidRPr="00A96CB7">
        <w:rPr>
          <w:color w:val="000000" w:themeColor="text1"/>
          <w:sz w:val="22"/>
          <w:szCs w:val="22"/>
        </w:rPr>
        <w:t xml:space="preserve">) at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λ</m:t>
            </m:r>
          </m:e>
          <m:sub>
            <m:r>
              <w:rPr>
                <w:rFonts w:ascii="Cambria Math" w:hAnsi="Cambria Math"/>
                <w:color w:val="000000" w:themeColor="text1"/>
                <w:sz w:val="22"/>
                <w:szCs w:val="22"/>
                <w:vertAlign w:val="subscript"/>
              </w:rPr>
              <m:t>V</m:t>
            </m:r>
          </m:sub>
        </m:sSub>
        <m:r>
          <w:rPr>
            <w:rFonts w:ascii="Cambria Math" w:hAnsi="Cambria Math"/>
            <w:color w:val="000000" w:themeColor="text1"/>
            <w:sz w:val="22"/>
            <w:szCs w:val="22"/>
          </w:rPr>
          <m:t>=2</m:t>
        </m:r>
      </m:oMath>
      <w:r w:rsidR="00AF617D" w:rsidRPr="00A96CB7">
        <w:rPr>
          <w:color w:val="000000" w:themeColor="text1"/>
          <w:sz w:val="22"/>
          <w:szCs w:val="22"/>
        </w:rPr>
        <w:t xml:space="preserve"> h</w:t>
      </w:r>
      <w:r w:rsidR="00AF617D" w:rsidRPr="00A96CB7">
        <w:rPr>
          <w:color w:val="000000" w:themeColor="text1"/>
          <w:sz w:val="22"/>
          <w:szCs w:val="22"/>
          <w:vertAlign w:val="superscript"/>
        </w:rPr>
        <w:t>-1</w:t>
      </w:r>
      <w:r w:rsidR="00AF617D" w:rsidRPr="00A96CB7">
        <w:rPr>
          <w:color w:val="000000" w:themeColor="text1"/>
          <w:sz w:val="22"/>
          <w:szCs w:val="22"/>
        </w:rPr>
        <w:t xml:space="preserve"> was found in sample (S1)</w:t>
      </w:r>
      <w:r w:rsidR="0045795F" w:rsidRPr="00A96CB7">
        <w:rPr>
          <w:color w:val="000000" w:themeColor="text1"/>
          <w:sz w:val="22"/>
          <w:szCs w:val="22"/>
        </w:rPr>
        <w:t>.</w:t>
      </w:r>
      <w:r w:rsidR="00FC0B72" w:rsidRPr="00A96CB7">
        <w:rPr>
          <w:color w:val="000000" w:themeColor="text1"/>
          <w:sz w:val="22"/>
          <w:szCs w:val="22"/>
        </w:rPr>
        <w:t xml:space="preserve"> </w:t>
      </w:r>
      <w:r w:rsidR="00C05ACE">
        <w:rPr>
          <w:color w:val="000000" w:themeColor="text1"/>
          <w:sz w:val="22"/>
          <w:szCs w:val="22"/>
        </w:rPr>
        <w:t>A</w:t>
      </w:r>
      <w:r w:rsidR="00FC0B72" w:rsidRPr="00A96CB7">
        <w:rPr>
          <w:color w:val="000000" w:themeColor="text1"/>
          <w:sz w:val="22"/>
          <w:szCs w:val="22"/>
        </w:rPr>
        <w:t xml:space="preserve">ll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C</m:t>
            </m:r>
          </m:e>
          <m:sub>
            <m:r>
              <w:rPr>
                <w:rFonts w:ascii="Cambria Math" w:hAnsi="Cambria Math"/>
                <w:color w:val="000000" w:themeColor="text1"/>
                <w:sz w:val="22"/>
                <w:szCs w:val="22"/>
                <w:vertAlign w:val="subscript"/>
              </w:rPr>
              <m:t>in</m:t>
            </m:r>
          </m:sub>
        </m:sSub>
      </m:oMath>
      <w:r w:rsidR="00FC0B72" w:rsidRPr="00A96CB7">
        <w:rPr>
          <w:color w:val="000000" w:themeColor="text1"/>
          <w:sz w:val="22"/>
          <w:szCs w:val="22"/>
        </w:rPr>
        <w:t xml:space="preserve"> values were lower than the global average of 40 Bq m</w:t>
      </w:r>
      <w:r w:rsidR="00FC0B72" w:rsidRPr="00A96CB7">
        <w:rPr>
          <w:color w:val="000000" w:themeColor="text1"/>
          <w:sz w:val="22"/>
          <w:szCs w:val="22"/>
          <w:vertAlign w:val="superscript"/>
        </w:rPr>
        <w:t>-3</w:t>
      </w:r>
      <w:r w:rsidR="00FC0B72" w:rsidRPr="00A96CB7">
        <w:rPr>
          <w:color w:val="000000" w:themeColor="text1"/>
          <w:sz w:val="22"/>
          <w:szCs w:val="22"/>
        </w:rPr>
        <w:t xml:space="preserve"> for indoor radon</w:t>
      </w:r>
      <w:r w:rsidR="00CF5D63">
        <w:rPr>
          <w:color w:val="000000" w:themeColor="text1"/>
          <w:sz w:val="22"/>
          <w:szCs w:val="22"/>
        </w:rPr>
        <w:t xml:space="preserve"> [</w:t>
      </w:r>
      <w:r w:rsidR="007379A6">
        <w:rPr>
          <w:color w:val="000000" w:themeColor="text1"/>
          <w:sz w:val="22"/>
          <w:szCs w:val="22"/>
        </w:rPr>
        <w:t>3</w:t>
      </w:r>
      <w:r w:rsidR="00CF5D63">
        <w:rPr>
          <w:color w:val="000000" w:themeColor="text1"/>
          <w:sz w:val="22"/>
          <w:szCs w:val="22"/>
        </w:rPr>
        <w:t>]</w:t>
      </w:r>
      <w:r w:rsidR="00C434EF">
        <w:rPr>
          <w:color w:val="000000" w:themeColor="text1"/>
          <w:sz w:val="22"/>
          <w:szCs w:val="22"/>
        </w:rPr>
        <w:t>.</w:t>
      </w:r>
    </w:p>
    <w:p w14:paraId="06B41A03" w14:textId="1761AA7E" w:rsidR="00C434EF" w:rsidRDefault="00A07B8B" w:rsidP="0037087D">
      <w:pPr>
        <w:rPr>
          <w:color w:val="000000" w:themeColor="text1"/>
          <w:sz w:val="22"/>
          <w:szCs w:val="22"/>
        </w:rPr>
      </w:pPr>
      <w:r w:rsidRPr="00910207">
        <w:rPr>
          <w:color w:val="000000" w:themeColor="text1"/>
          <w:sz w:val="22"/>
          <w:szCs w:val="22"/>
        </w:rPr>
        <w:t xml:space="preserve">The average AIED values at </w:t>
      </w:r>
      <w:proofErr w:type="spellStart"/>
      <w:r w:rsidRPr="00910207">
        <w:rPr>
          <w:color w:val="000000" w:themeColor="text1"/>
          <w:sz w:val="22"/>
          <w:szCs w:val="22"/>
        </w:rPr>
        <w:t>λ</w:t>
      </w:r>
      <w:r w:rsidRPr="00910207">
        <w:rPr>
          <w:color w:val="000000" w:themeColor="text1"/>
          <w:sz w:val="22"/>
          <w:szCs w:val="22"/>
          <w:vertAlign w:val="subscript"/>
        </w:rPr>
        <w:t>V</w:t>
      </w:r>
      <w:proofErr w:type="spellEnd"/>
      <w:r w:rsidRPr="00910207">
        <w:rPr>
          <w:color w:val="000000" w:themeColor="text1"/>
          <w:sz w:val="22"/>
          <w:szCs w:val="22"/>
        </w:rPr>
        <w:t xml:space="preserve"> = 0.2, 0.63 and 2 h⁻¹ are </w:t>
      </w:r>
      <w:r w:rsidRPr="00910207">
        <w:rPr>
          <w:rFonts w:eastAsia="Times New Roman"/>
          <w:color w:val="000000"/>
          <w:sz w:val="22"/>
          <w:szCs w:val="22"/>
        </w:rPr>
        <w:t xml:space="preserve">0.31 ± 0.20 </w:t>
      </w:r>
      <w:r w:rsidRPr="00910207">
        <w:rPr>
          <w:color w:val="000000" w:themeColor="text1"/>
          <w:sz w:val="22"/>
          <w:szCs w:val="22"/>
        </w:rPr>
        <w:t>mSv y</w:t>
      </w:r>
      <w:r w:rsidRPr="00910207">
        <w:rPr>
          <w:color w:val="000000" w:themeColor="text1"/>
          <w:sz w:val="22"/>
          <w:szCs w:val="22"/>
          <w:vertAlign w:val="superscript"/>
        </w:rPr>
        <w:t>-1</w:t>
      </w:r>
      <w:r w:rsidRPr="00910207">
        <w:rPr>
          <w:rFonts w:eastAsia="Times New Roman"/>
          <w:color w:val="000000"/>
          <w:sz w:val="22"/>
          <w:szCs w:val="22"/>
        </w:rPr>
        <w:t>, 0.10 ± 0.06</w:t>
      </w:r>
      <w:r w:rsidRPr="00910207">
        <w:rPr>
          <w:color w:val="000000" w:themeColor="text1"/>
          <w:sz w:val="22"/>
          <w:szCs w:val="22"/>
        </w:rPr>
        <w:t> mSv y</w:t>
      </w:r>
      <w:r w:rsidRPr="00910207">
        <w:rPr>
          <w:color w:val="000000" w:themeColor="text1"/>
          <w:sz w:val="22"/>
          <w:szCs w:val="22"/>
          <w:vertAlign w:val="superscript"/>
        </w:rPr>
        <w:t>-1</w:t>
      </w:r>
      <w:r w:rsidRPr="00910207">
        <w:rPr>
          <w:color w:val="000000" w:themeColor="text1"/>
          <w:sz w:val="22"/>
          <w:szCs w:val="22"/>
        </w:rPr>
        <w:t xml:space="preserve"> </w:t>
      </w:r>
      <w:r w:rsidRPr="00910207">
        <w:rPr>
          <w:rFonts w:eastAsia="Times New Roman"/>
          <w:color w:val="000000"/>
          <w:sz w:val="22"/>
          <w:szCs w:val="22"/>
        </w:rPr>
        <w:t xml:space="preserve">and 0.03 ± 0.02 </w:t>
      </w:r>
      <w:r w:rsidRPr="00910207">
        <w:rPr>
          <w:color w:val="000000" w:themeColor="text1"/>
          <w:sz w:val="22"/>
          <w:szCs w:val="22"/>
        </w:rPr>
        <w:t>mSv y</w:t>
      </w:r>
      <w:r w:rsidRPr="00910207">
        <w:rPr>
          <w:color w:val="000000" w:themeColor="text1"/>
          <w:sz w:val="22"/>
          <w:szCs w:val="22"/>
          <w:vertAlign w:val="superscript"/>
        </w:rPr>
        <w:t>-1</w:t>
      </w:r>
      <w:r w:rsidRPr="00910207">
        <w:rPr>
          <w:rFonts w:eastAsia="Times New Roman"/>
          <w:color w:val="000000"/>
          <w:sz w:val="22"/>
          <w:szCs w:val="22"/>
        </w:rPr>
        <w:t xml:space="preserve">, respectively. </w:t>
      </w:r>
      <w:r w:rsidRPr="00910207">
        <w:rPr>
          <w:color w:val="000000" w:themeColor="text1"/>
          <w:sz w:val="22"/>
          <w:szCs w:val="22"/>
        </w:rPr>
        <w:t xml:space="preserve">The </w:t>
      </w:r>
      <w:r w:rsidR="00E145BD">
        <w:rPr>
          <w:color w:val="000000" w:themeColor="text1"/>
          <w:sz w:val="22"/>
          <w:szCs w:val="22"/>
        </w:rPr>
        <w:t>marble and granite</w:t>
      </w:r>
      <w:r w:rsidRPr="00910207">
        <w:rPr>
          <w:color w:val="000000" w:themeColor="text1"/>
          <w:sz w:val="22"/>
          <w:szCs w:val="22"/>
        </w:rPr>
        <w:t xml:space="preserve"> </w:t>
      </w:r>
      <w:r w:rsidR="00E145BD">
        <w:rPr>
          <w:color w:val="000000" w:themeColor="text1"/>
          <w:sz w:val="22"/>
          <w:szCs w:val="22"/>
        </w:rPr>
        <w:t>samples</w:t>
      </w:r>
      <w:r w:rsidRPr="00910207">
        <w:rPr>
          <w:color w:val="000000" w:themeColor="text1"/>
          <w:sz w:val="22"/>
          <w:szCs w:val="22"/>
        </w:rPr>
        <w:t xml:space="preserve"> show no inhalation risk</w:t>
      </w:r>
      <w:r w:rsidR="00B919C7">
        <w:rPr>
          <w:color w:val="000000" w:themeColor="text1"/>
          <w:sz w:val="22"/>
          <w:szCs w:val="22"/>
        </w:rPr>
        <w:t xml:space="preserve"> (see Fig. 4)</w:t>
      </w:r>
      <w:r w:rsidRPr="00910207">
        <w:rPr>
          <w:color w:val="000000" w:themeColor="text1"/>
          <w:sz w:val="22"/>
          <w:szCs w:val="22"/>
        </w:rPr>
        <w:t xml:space="preserve"> from indoor radon as all estimated AIED values</w:t>
      </w:r>
      <w:r w:rsidRPr="00910207">
        <w:rPr>
          <w:rFonts w:eastAsia="Times New Roman"/>
          <w:color w:val="000000"/>
          <w:sz w:val="22"/>
          <w:szCs w:val="22"/>
        </w:rPr>
        <w:t xml:space="preserve"> </w:t>
      </w:r>
      <w:r w:rsidRPr="00910207">
        <w:rPr>
          <w:color w:val="000000" w:themeColor="text1"/>
          <w:sz w:val="22"/>
          <w:szCs w:val="22"/>
        </w:rPr>
        <w:t>are within the non-occupational exposure limit of 1 mSv y</w:t>
      </w:r>
      <w:r w:rsidRPr="00910207">
        <w:rPr>
          <w:color w:val="000000" w:themeColor="text1"/>
          <w:sz w:val="22"/>
          <w:szCs w:val="22"/>
          <w:vertAlign w:val="superscript"/>
        </w:rPr>
        <w:t>-1</w:t>
      </w:r>
      <w:r w:rsidRPr="00910207">
        <w:rPr>
          <w:color w:val="000000" w:themeColor="text1"/>
          <w:sz w:val="22"/>
          <w:szCs w:val="22"/>
        </w:rPr>
        <w:t xml:space="preserve"> </w:t>
      </w:r>
      <w:r w:rsidR="00654432">
        <w:rPr>
          <w:color w:val="000000" w:themeColor="text1"/>
          <w:sz w:val="22"/>
          <w:szCs w:val="22"/>
        </w:rPr>
        <w:t>[</w:t>
      </w:r>
      <w:r w:rsidR="00627E87">
        <w:rPr>
          <w:color w:val="000000" w:themeColor="text1"/>
          <w:sz w:val="22"/>
          <w:szCs w:val="22"/>
        </w:rPr>
        <w:t>4</w:t>
      </w:r>
      <w:r w:rsidR="00654432">
        <w:rPr>
          <w:color w:val="000000" w:themeColor="text1"/>
          <w:sz w:val="22"/>
          <w:szCs w:val="22"/>
        </w:rPr>
        <w:t>]</w:t>
      </w:r>
      <w:r w:rsidR="005E4C3B">
        <w:rPr>
          <w:color w:val="000000" w:themeColor="text1"/>
          <w:sz w:val="22"/>
          <w:szCs w:val="22"/>
        </w:rPr>
        <w:t xml:space="preserve"> and lower </w:t>
      </w:r>
      <w:r w:rsidR="005E4C3B" w:rsidRPr="005E4C3B">
        <w:rPr>
          <w:color w:val="000000" w:themeColor="text1"/>
          <w:sz w:val="22"/>
          <w:szCs w:val="22"/>
        </w:rPr>
        <w:t>than the global annual average effective dose of 1.26 mSv</w:t>
      </w:r>
      <w:r w:rsidR="005E4C3B">
        <w:rPr>
          <w:color w:val="000000" w:themeColor="text1"/>
          <w:sz w:val="22"/>
          <w:szCs w:val="22"/>
        </w:rPr>
        <w:t>y</w:t>
      </w:r>
      <w:r w:rsidR="005E4C3B" w:rsidRPr="005E4C3B">
        <w:rPr>
          <w:color w:val="000000" w:themeColor="text1"/>
          <w:sz w:val="22"/>
          <w:szCs w:val="22"/>
          <w:vertAlign w:val="superscript"/>
        </w:rPr>
        <w:t>-1</w:t>
      </w:r>
      <w:r w:rsidR="005E4C3B">
        <w:rPr>
          <w:color w:val="000000" w:themeColor="text1"/>
          <w:sz w:val="22"/>
          <w:szCs w:val="22"/>
        </w:rPr>
        <w:t xml:space="preserve"> [</w:t>
      </w:r>
      <w:r w:rsidR="00627E87">
        <w:rPr>
          <w:color w:val="000000" w:themeColor="text1"/>
          <w:sz w:val="22"/>
          <w:szCs w:val="22"/>
        </w:rPr>
        <w:t>3</w:t>
      </w:r>
      <w:r w:rsidR="005E4C3B">
        <w:rPr>
          <w:color w:val="000000" w:themeColor="text1"/>
          <w:sz w:val="22"/>
          <w:szCs w:val="22"/>
        </w:rPr>
        <w:t>]</w:t>
      </w:r>
      <w:r w:rsidRPr="00910207">
        <w:rPr>
          <w:color w:val="000000" w:themeColor="text1"/>
          <w:sz w:val="22"/>
          <w:szCs w:val="22"/>
        </w:rPr>
        <w:t>.</w:t>
      </w:r>
    </w:p>
    <w:p w14:paraId="771E66F3" w14:textId="77777777" w:rsidR="00976933" w:rsidRPr="00910207" w:rsidRDefault="00976933" w:rsidP="0037087D">
      <w:pPr>
        <w:rPr>
          <w:color w:val="000000" w:themeColor="text1"/>
          <w:sz w:val="22"/>
          <w:szCs w:val="22"/>
        </w:rPr>
      </w:pPr>
    </w:p>
    <w:p w14:paraId="0781C835" w14:textId="0B1BEA6E" w:rsidR="00777312" w:rsidRPr="00777312" w:rsidRDefault="00E63DF8" w:rsidP="00CB616A">
      <w:pPr>
        <w:pStyle w:val="BodyTextIndent"/>
        <w:ind w:firstLine="0"/>
        <w:jc w:val="center"/>
        <w:rPr>
          <w:sz w:val="22"/>
          <w:szCs w:val="22"/>
        </w:rPr>
      </w:pPr>
      <w:r w:rsidRPr="00385CCC">
        <w:rPr>
          <w:noProof/>
          <w:sz w:val="22"/>
          <w:szCs w:val="22"/>
        </w:rPr>
        <w:drawing>
          <wp:inline distT="0" distB="0" distL="0" distR="0" wp14:anchorId="48FD31A9" wp14:editId="6E5B0933">
            <wp:extent cx="3009900" cy="1508760"/>
            <wp:effectExtent l="0" t="0" r="0" b="0"/>
            <wp:docPr id="19061433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09900" cy="1508760"/>
                    </a:xfrm>
                    <a:prstGeom prst="rect">
                      <a:avLst/>
                    </a:prstGeom>
                    <a:noFill/>
                    <a:ln>
                      <a:noFill/>
                    </a:ln>
                  </pic:spPr>
                </pic:pic>
              </a:graphicData>
            </a:graphic>
          </wp:inline>
        </w:drawing>
      </w:r>
    </w:p>
    <w:p w14:paraId="4400816E" w14:textId="04A48E72" w:rsidR="00381ED2" w:rsidRDefault="000A60F8" w:rsidP="00EE2616">
      <w:pPr>
        <w:rPr>
          <w:color w:val="000000" w:themeColor="text1"/>
        </w:rPr>
      </w:pPr>
      <w:r w:rsidRPr="00F806BA">
        <w:rPr>
          <w:b/>
          <w:bCs/>
          <w:color w:val="000000" w:themeColor="text1"/>
        </w:rPr>
        <w:t>Fig. 4.</w:t>
      </w:r>
      <w:r w:rsidRPr="00F806BA">
        <w:rPr>
          <w:color w:val="000000" w:themeColor="text1"/>
        </w:rPr>
        <w:t xml:space="preserve"> </w:t>
      </w:r>
      <w:r w:rsidRPr="00F806BA">
        <w:rPr>
          <w:b/>
          <w:bCs/>
          <w:color w:val="000000" w:themeColor="text1"/>
        </w:rPr>
        <w:t>(a)</w:t>
      </w:r>
      <w:r w:rsidRPr="00F806BA">
        <w:rPr>
          <w:color w:val="000000" w:themeColor="text1"/>
        </w:rPr>
        <w:t xml:space="preserve"> Radon surface exhalation rate</w:t>
      </w:r>
      <w:r w:rsidRPr="005645F9">
        <w:rPr>
          <w:color w:val="000000" w:themeColor="text1"/>
        </w:rPr>
        <w:t>,</w:t>
      </w:r>
      <w:r w:rsidRPr="00F806BA">
        <w:rPr>
          <w:color w:val="000000" w:themeColor="text1"/>
        </w:rPr>
        <w:t xml:space="preserve"> E</w:t>
      </w:r>
      <w:r w:rsidRPr="00F806BA">
        <w:rPr>
          <w:color w:val="000000" w:themeColor="text1"/>
          <w:vertAlign w:val="subscript"/>
        </w:rPr>
        <w:t>S</w:t>
      </w:r>
      <w:r w:rsidRPr="005645F9">
        <w:rPr>
          <w:color w:val="000000" w:themeColor="text1"/>
        </w:rPr>
        <w:t xml:space="preserve"> </w:t>
      </w:r>
      <w:r w:rsidRPr="00F806BA">
        <w:rPr>
          <w:b/>
          <w:bCs/>
          <w:color w:val="000000" w:themeColor="text1"/>
        </w:rPr>
        <w:t>(b)</w:t>
      </w:r>
      <w:r w:rsidRPr="00F806BA">
        <w:rPr>
          <w:color w:val="000000" w:themeColor="text1"/>
        </w:rPr>
        <w:t xml:space="preserve"> radon mass exhalation rate, E</w:t>
      </w:r>
      <w:r w:rsidRPr="00F806BA">
        <w:rPr>
          <w:color w:val="000000" w:themeColor="text1"/>
          <w:vertAlign w:val="subscript"/>
        </w:rPr>
        <w:t>M</w:t>
      </w:r>
      <w:r w:rsidRPr="00F806BA">
        <w:rPr>
          <w:color w:val="000000" w:themeColor="text1"/>
        </w:rPr>
        <w:t xml:space="preserve"> </w:t>
      </w:r>
      <w:r w:rsidRPr="00F806BA">
        <w:rPr>
          <w:b/>
          <w:bCs/>
          <w:color w:val="000000" w:themeColor="text1"/>
        </w:rPr>
        <w:t>(c)</w:t>
      </w:r>
      <w:r w:rsidRPr="00F806BA">
        <w:rPr>
          <w:color w:val="000000" w:themeColor="text1"/>
        </w:rPr>
        <w:t xml:space="preserve"> indoor radon concentration</w:t>
      </w:r>
      <w:r w:rsidR="000E3F80" w:rsidRPr="00F806BA">
        <w:rPr>
          <w:color w:val="000000" w:themeColor="text1"/>
        </w:rPr>
        <w:t>, C</w:t>
      </w:r>
      <w:r w:rsidR="000E3F80" w:rsidRPr="00F806BA">
        <w:rPr>
          <w:color w:val="000000" w:themeColor="text1"/>
          <w:vertAlign w:val="subscript"/>
        </w:rPr>
        <w:t>in</w:t>
      </w:r>
      <w:r w:rsidRPr="00F806BA">
        <w:rPr>
          <w:color w:val="000000" w:themeColor="text1"/>
        </w:rPr>
        <w:t xml:space="preserve"> </w:t>
      </w:r>
      <w:r w:rsidR="00244E74" w:rsidRPr="00F806BA">
        <w:rPr>
          <w:color w:val="000000" w:themeColor="text1"/>
        </w:rPr>
        <w:t xml:space="preserve">(at </w:t>
      </w:r>
      <w:proofErr w:type="spellStart"/>
      <w:r w:rsidR="00244E74" w:rsidRPr="00F806BA">
        <w:t>λ</w:t>
      </w:r>
      <w:r w:rsidR="00244E74" w:rsidRPr="00F806BA">
        <w:rPr>
          <w:vertAlign w:val="subscript"/>
        </w:rPr>
        <w:t>V</w:t>
      </w:r>
      <w:proofErr w:type="spellEnd"/>
      <w:r w:rsidR="00244E74" w:rsidRPr="00F806BA">
        <w:rPr>
          <w:color w:val="000000" w:themeColor="text1"/>
        </w:rPr>
        <w:t xml:space="preserve"> = </w:t>
      </w:r>
      <w:r w:rsidR="00771D24">
        <w:rPr>
          <w:color w:val="000000" w:themeColor="text1"/>
        </w:rPr>
        <w:t>0.</w:t>
      </w:r>
      <w:r w:rsidR="00244E74" w:rsidRPr="00F806BA">
        <w:rPr>
          <w:color w:val="000000" w:themeColor="text1"/>
        </w:rPr>
        <w:t>2 h</w:t>
      </w:r>
      <w:r w:rsidR="00244E74" w:rsidRPr="00F806BA">
        <w:rPr>
          <w:color w:val="000000" w:themeColor="text1"/>
          <w:vertAlign w:val="superscript"/>
        </w:rPr>
        <w:t>-1</w:t>
      </w:r>
      <w:r w:rsidR="00244E74" w:rsidRPr="00F806BA">
        <w:rPr>
          <w:color w:val="000000" w:themeColor="text1"/>
        </w:rPr>
        <w:t xml:space="preserve">) </w:t>
      </w:r>
      <w:r w:rsidRPr="00F806BA">
        <w:rPr>
          <w:color w:val="000000" w:themeColor="text1"/>
        </w:rPr>
        <w:t xml:space="preserve">and </w:t>
      </w:r>
      <w:r w:rsidRPr="00F806BA">
        <w:rPr>
          <w:b/>
          <w:bCs/>
          <w:color w:val="000000" w:themeColor="text1"/>
        </w:rPr>
        <w:t>(d)</w:t>
      </w:r>
      <w:r w:rsidRPr="00F806BA">
        <w:rPr>
          <w:color w:val="000000" w:themeColor="text1"/>
        </w:rPr>
        <w:t xml:space="preserve"> </w:t>
      </w:r>
      <w:r w:rsidRPr="005645F9">
        <w:rPr>
          <w:color w:val="000000" w:themeColor="text1"/>
        </w:rPr>
        <w:t xml:space="preserve">annual </w:t>
      </w:r>
      <w:r w:rsidRPr="00F806BA">
        <w:rPr>
          <w:color w:val="000000" w:themeColor="text1"/>
        </w:rPr>
        <w:t xml:space="preserve">inhalation </w:t>
      </w:r>
      <w:r w:rsidRPr="005645F9">
        <w:rPr>
          <w:color w:val="000000" w:themeColor="text1"/>
        </w:rPr>
        <w:t>effective doses</w:t>
      </w:r>
      <w:r w:rsidRPr="00F806BA">
        <w:rPr>
          <w:color w:val="000000" w:themeColor="text1"/>
        </w:rPr>
        <w:t>, AIED</w:t>
      </w:r>
      <w:r w:rsidR="00244E74" w:rsidRPr="00F806BA">
        <w:rPr>
          <w:color w:val="000000" w:themeColor="text1"/>
        </w:rPr>
        <w:t xml:space="preserve"> (at </w:t>
      </w:r>
      <w:proofErr w:type="spellStart"/>
      <w:r w:rsidR="00244E74" w:rsidRPr="00F806BA">
        <w:t>λ</w:t>
      </w:r>
      <w:r w:rsidR="00244E74" w:rsidRPr="00F806BA">
        <w:rPr>
          <w:vertAlign w:val="subscript"/>
        </w:rPr>
        <w:t>V</w:t>
      </w:r>
      <w:proofErr w:type="spellEnd"/>
      <w:r w:rsidR="00244E74" w:rsidRPr="00F806BA">
        <w:rPr>
          <w:color w:val="000000" w:themeColor="text1"/>
        </w:rPr>
        <w:t xml:space="preserve"> = </w:t>
      </w:r>
      <w:r w:rsidR="00031F52">
        <w:rPr>
          <w:color w:val="000000" w:themeColor="text1"/>
        </w:rPr>
        <w:t>0.</w:t>
      </w:r>
      <w:r w:rsidR="00244E74" w:rsidRPr="00F806BA">
        <w:rPr>
          <w:color w:val="000000" w:themeColor="text1"/>
        </w:rPr>
        <w:t>2 h</w:t>
      </w:r>
      <w:r w:rsidR="00244E74" w:rsidRPr="00F806BA">
        <w:rPr>
          <w:color w:val="000000" w:themeColor="text1"/>
          <w:vertAlign w:val="superscript"/>
        </w:rPr>
        <w:t>-1</w:t>
      </w:r>
      <w:r w:rsidR="00244E74" w:rsidRPr="00F806BA">
        <w:rPr>
          <w:color w:val="000000" w:themeColor="text1"/>
        </w:rPr>
        <w:t>)</w:t>
      </w:r>
      <w:r w:rsidRPr="00F806BA">
        <w:rPr>
          <w:color w:val="000000" w:themeColor="text1"/>
        </w:rPr>
        <w:t xml:space="preserve"> </w:t>
      </w:r>
      <w:r w:rsidRPr="005645F9">
        <w:rPr>
          <w:color w:val="000000" w:themeColor="text1"/>
        </w:rPr>
        <w:t>for</w:t>
      </w:r>
      <w:r w:rsidRPr="00F806BA">
        <w:rPr>
          <w:color w:val="000000" w:themeColor="text1"/>
        </w:rPr>
        <w:t xml:space="preserve"> marble and granite samples.</w:t>
      </w:r>
    </w:p>
    <w:p w14:paraId="01D7737C" w14:textId="77777777" w:rsidR="00C434EF" w:rsidRPr="00F806BA" w:rsidRDefault="00C434EF" w:rsidP="00EE2616">
      <w:pPr>
        <w:rPr>
          <w:color w:val="000000" w:themeColor="text1"/>
        </w:rPr>
      </w:pPr>
    </w:p>
    <w:p w14:paraId="2EE535F9" w14:textId="05505C38" w:rsidR="00781B6A" w:rsidRPr="00BB7497" w:rsidRDefault="00781B6A" w:rsidP="00A73779">
      <w:pPr>
        <w:pStyle w:val="AbstractClauseTitle"/>
        <w:jc w:val="left"/>
        <w:rPr>
          <w:rFonts w:ascii="Times New Roman" w:hAnsi="Times New Roman"/>
          <w:caps w:val="0"/>
          <w:sz w:val="22"/>
          <w:szCs w:val="22"/>
        </w:rPr>
      </w:pPr>
      <w:r w:rsidRPr="00BB7497">
        <w:rPr>
          <w:rFonts w:ascii="Times New Roman" w:hAnsi="Times New Roman"/>
          <w:caps w:val="0"/>
          <w:sz w:val="22"/>
          <w:szCs w:val="22"/>
        </w:rPr>
        <w:t xml:space="preserve">IV. </w:t>
      </w:r>
      <w:r w:rsidR="00A73779" w:rsidRPr="00BB7497">
        <w:rPr>
          <w:rFonts w:ascii="Times New Roman" w:hAnsi="Times New Roman"/>
          <w:caps w:val="0"/>
          <w:sz w:val="22"/>
          <w:szCs w:val="22"/>
        </w:rPr>
        <w:t>Conclusions</w:t>
      </w:r>
    </w:p>
    <w:p w14:paraId="7A4DC2B3" w14:textId="150EA2C1" w:rsidR="000B7C7F" w:rsidRPr="00FD27F7" w:rsidRDefault="00DD4A22" w:rsidP="00550F3D">
      <w:pPr>
        <w:rPr>
          <w:color w:val="000000" w:themeColor="text1"/>
          <w:sz w:val="22"/>
          <w:szCs w:val="22"/>
        </w:rPr>
      </w:pPr>
      <w:r w:rsidRPr="00E8344D">
        <w:rPr>
          <w:color w:val="000000" w:themeColor="text1"/>
          <w:sz w:val="22"/>
          <w:szCs w:val="22"/>
        </w:rPr>
        <w:t>Th</w:t>
      </w:r>
      <w:r>
        <w:rPr>
          <w:color w:val="000000" w:themeColor="text1"/>
          <w:sz w:val="22"/>
          <w:szCs w:val="22"/>
        </w:rPr>
        <w:t>is</w:t>
      </w:r>
      <w:r w:rsidRPr="00E8344D">
        <w:rPr>
          <w:color w:val="000000" w:themeColor="text1"/>
          <w:sz w:val="22"/>
          <w:szCs w:val="22"/>
        </w:rPr>
        <w:t xml:space="preserve"> </w:t>
      </w:r>
      <w:r>
        <w:rPr>
          <w:color w:val="000000" w:themeColor="text1"/>
          <w:sz w:val="22"/>
          <w:szCs w:val="22"/>
        </w:rPr>
        <w:t>study</w:t>
      </w:r>
      <w:r w:rsidRPr="00E8344D">
        <w:rPr>
          <w:color w:val="000000" w:themeColor="text1"/>
          <w:sz w:val="22"/>
          <w:szCs w:val="22"/>
        </w:rPr>
        <w:t xml:space="preserve"> evaluated radon </w:t>
      </w:r>
      <w:r>
        <w:rPr>
          <w:color w:val="000000" w:themeColor="text1"/>
          <w:sz w:val="22"/>
          <w:szCs w:val="22"/>
        </w:rPr>
        <w:t xml:space="preserve">exhalation rates </w:t>
      </w:r>
      <w:r w:rsidRPr="00E8344D">
        <w:rPr>
          <w:color w:val="000000" w:themeColor="text1"/>
          <w:sz w:val="22"/>
          <w:szCs w:val="22"/>
        </w:rPr>
        <w:t xml:space="preserve">and </w:t>
      </w:r>
      <w:r>
        <w:rPr>
          <w:color w:val="000000" w:themeColor="text1"/>
          <w:sz w:val="22"/>
          <w:szCs w:val="22"/>
        </w:rPr>
        <w:t>indoor radon dose levels</w:t>
      </w:r>
      <w:r w:rsidRPr="00E8344D">
        <w:rPr>
          <w:color w:val="000000" w:themeColor="text1"/>
          <w:sz w:val="22"/>
          <w:szCs w:val="22"/>
        </w:rPr>
        <w:t xml:space="preserve"> from</w:t>
      </w:r>
      <w:r>
        <w:rPr>
          <w:color w:val="000000" w:themeColor="text1"/>
          <w:sz w:val="22"/>
          <w:szCs w:val="22"/>
        </w:rPr>
        <w:t xml:space="preserve"> </w:t>
      </w:r>
      <w:r w:rsidRPr="00895127">
        <w:rPr>
          <w:color w:val="000000" w:themeColor="text1"/>
          <w:sz w:val="22"/>
          <w:szCs w:val="22"/>
        </w:rPr>
        <w:t xml:space="preserve">commercially available marble and granite samples </w:t>
      </w:r>
      <w:r>
        <w:rPr>
          <w:color w:val="000000" w:themeColor="text1"/>
          <w:sz w:val="22"/>
          <w:szCs w:val="22"/>
        </w:rPr>
        <w:t>used for construction of dwellings in</w:t>
      </w:r>
      <w:r w:rsidRPr="00895127">
        <w:rPr>
          <w:color w:val="000000" w:themeColor="text1"/>
          <w:sz w:val="22"/>
          <w:szCs w:val="22"/>
        </w:rPr>
        <w:t xml:space="preserve"> Saudi Arabia.</w:t>
      </w:r>
      <w:r>
        <w:rPr>
          <w:color w:val="000000" w:themeColor="text1"/>
          <w:sz w:val="22"/>
          <w:szCs w:val="22"/>
        </w:rPr>
        <w:t xml:space="preserve"> </w:t>
      </w:r>
      <w:r w:rsidRPr="00E8344D">
        <w:rPr>
          <w:color w:val="000000" w:themeColor="text1"/>
          <w:sz w:val="22"/>
          <w:szCs w:val="22"/>
        </w:rPr>
        <w:t xml:space="preserve">The </w:t>
      </w:r>
      <w:r>
        <w:rPr>
          <w:color w:val="000000" w:themeColor="text1"/>
          <w:sz w:val="22"/>
          <w:szCs w:val="22"/>
        </w:rPr>
        <w:t xml:space="preserve">measured </w:t>
      </w:r>
      <w:r w:rsidRPr="00E8344D">
        <w:rPr>
          <w:color w:val="000000" w:themeColor="text1"/>
          <w:sz w:val="22"/>
          <w:szCs w:val="22"/>
        </w:rPr>
        <w:t>levels of radon exhalation</w:t>
      </w:r>
      <w:r>
        <w:rPr>
          <w:color w:val="000000" w:themeColor="text1"/>
          <w:sz w:val="22"/>
          <w:szCs w:val="22"/>
        </w:rPr>
        <w:t xml:space="preserve"> rates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E</m:t>
            </m:r>
          </m:e>
          <m:sub>
            <m:r>
              <w:rPr>
                <w:rFonts w:ascii="Cambria Math" w:hAnsi="Cambria Math"/>
                <w:color w:val="000000" w:themeColor="text1"/>
                <w:sz w:val="22"/>
                <w:szCs w:val="22"/>
                <w:vertAlign w:val="subscript"/>
              </w:rPr>
              <m:t>S</m:t>
            </m:r>
          </m:sub>
        </m:sSub>
      </m:oMath>
      <w:r>
        <w:rPr>
          <w:color w:val="000000" w:themeColor="text1"/>
          <w:sz w:val="22"/>
          <w:szCs w:val="22"/>
        </w:rPr>
        <w:t xml:space="preserve"> &amp;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E</m:t>
            </m:r>
          </m:e>
          <m:sub>
            <m:r>
              <w:rPr>
                <w:rFonts w:ascii="Cambria Math" w:hAnsi="Cambria Math"/>
                <w:color w:val="000000" w:themeColor="text1"/>
                <w:sz w:val="22"/>
                <w:szCs w:val="22"/>
                <w:vertAlign w:val="subscript"/>
              </w:rPr>
              <m:t>M</m:t>
            </m:r>
          </m:sub>
        </m:sSub>
      </m:oMath>
      <w:r>
        <w:rPr>
          <w:color w:val="000000" w:themeColor="text1"/>
          <w:sz w:val="22"/>
          <w:szCs w:val="22"/>
        </w:rPr>
        <w:t>)</w:t>
      </w:r>
      <w:r w:rsidRPr="00E8344D">
        <w:rPr>
          <w:color w:val="000000" w:themeColor="text1"/>
          <w:sz w:val="22"/>
          <w:szCs w:val="22"/>
        </w:rPr>
        <w:t>,</w:t>
      </w:r>
      <w:r w:rsidR="00C05ACE">
        <w:rPr>
          <w:color w:val="000000" w:themeColor="text1"/>
          <w:sz w:val="22"/>
          <w:szCs w:val="22"/>
        </w:rPr>
        <w:t xml:space="preserve"> </w:t>
      </w:r>
      <w:r w:rsidRPr="00E8344D">
        <w:rPr>
          <w:color w:val="000000" w:themeColor="text1"/>
          <w:sz w:val="22"/>
          <w:szCs w:val="22"/>
        </w:rPr>
        <w:t>indoor radon concentration</w:t>
      </w:r>
      <w:r>
        <w:rPr>
          <w:color w:val="000000" w:themeColor="text1"/>
          <w:sz w:val="22"/>
          <w:szCs w:val="22"/>
        </w:rPr>
        <w:t xml:space="preserve">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C</m:t>
            </m:r>
          </m:e>
          <m:sub>
            <m:r>
              <w:rPr>
                <w:rFonts w:ascii="Cambria Math" w:hAnsi="Cambria Math"/>
                <w:color w:val="000000" w:themeColor="text1"/>
                <w:sz w:val="22"/>
                <w:szCs w:val="22"/>
                <w:vertAlign w:val="subscript"/>
              </w:rPr>
              <m:t>in</m:t>
            </m:r>
          </m:sub>
        </m:sSub>
      </m:oMath>
      <w:r>
        <w:rPr>
          <w:color w:val="000000" w:themeColor="text1"/>
          <w:sz w:val="22"/>
          <w:szCs w:val="22"/>
        </w:rPr>
        <w:t>)</w:t>
      </w:r>
      <w:r w:rsidRPr="00E8344D">
        <w:rPr>
          <w:color w:val="000000" w:themeColor="text1"/>
          <w:sz w:val="22"/>
          <w:szCs w:val="22"/>
        </w:rPr>
        <w:t>, and effective dose</w:t>
      </w:r>
      <w:r>
        <w:rPr>
          <w:color w:val="000000" w:themeColor="text1"/>
          <w:sz w:val="22"/>
          <w:szCs w:val="22"/>
        </w:rPr>
        <w:t xml:space="preserve"> (AIED)</w:t>
      </w:r>
      <w:r w:rsidRPr="00E8344D">
        <w:rPr>
          <w:color w:val="000000" w:themeColor="text1"/>
          <w:sz w:val="22"/>
          <w:szCs w:val="22"/>
        </w:rPr>
        <w:t xml:space="preserve"> are </w:t>
      </w:r>
      <w:r>
        <w:rPr>
          <w:color w:val="000000" w:themeColor="text1"/>
          <w:sz w:val="22"/>
          <w:szCs w:val="22"/>
        </w:rPr>
        <w:t>lower</w:t>
      </w:r>
      <w:r w:rsidRPr="00E8344D">
        <w:rPr>
          <w:color w:val="000000" w:themeColor="text1"/>
          <w:sz w:val="22"/>
          <w:szCs w:val="22"/>
        </w:rPr>
        <w:t xml:space="preserve"> </w:t>
      </w:r>
      <w:r>
        <w:rPr>
          <w:color w:val="000000" w:themeColor="text1"/>
          <w:sz w:val="22"/>
          <w:szCs w:val="22"/>
        </w:rPr>
        <w:t xml:space="preserve">than </w:t>
      </w:r>
      <w:r w:rsidRPr="00E8344D">
        <w:rPr>
          <w:color w:val="000000" w:themeColor="text1"/>
          <w:sz w:val="22"/>
          <w:szCs w:val="22"/>
        </w:rPr>
        <w:t>the</w:t>
      </w:r>
      <w:r w:rsidRPr="0038442C">
        <w:rPr>
          <w:color w:val="000000" w:themeColor="text1"/>
          <w:sz w:val="22"/>
          <w:szCs w:val="22"/>
        </w:rPr>
        <w:t xml:space="preserve"> </w:t>
      </w:r>
      <w:r w:rsidRPr="00E8344D">
        <w:rPr>
          <w:color w:val="000000" w:themeColor="text1"/>
          <w:sz w:val="22"/>
          <w:szCs w:val="22"/>
        </w:rPr>
        <w:t>international safety limits</w:t>
      </w:r>
      <w:r>
        <w:rPr>
          <w:color w:val="000000" w:themeColor="text1"/>
          <w:sz w:val="22"/>
          <w:szCs w:val="22"/>
        </w:rPr>
        <w:t>. So, t</w:t>
      </w:r>
      <w:r w:rsidRPr="00E8344D">
        <w:rPr>
          <w:color w:val="000000" w:themeColor="text1"/>
          <w:sz w:val="22"/>
          <w:szCs w:val="22"/>
        </w:rPr>
        <w:t>he analyzed marble and granite samples</w:t>
      </w:r>
      <w:r>
        <w:rPr>
          <w:color w:val="000000" w:themeColor="text1"/>
          <w:sz w:val="22"/>
          <w:szCs w:val="22"/>
        </w:rPr>
        <w:t xml:space="preserve"> </w:t>
      </w:r>
      <w:r w:rsidRPr="00E8344D">
        <w:rPr>
          <w:color w:val="000000" w:themeColor="text1"/>
          <w:sz w:val="22"/>
          <w:szCs w:val="22"/>
        </w:rPr>
        <w:t>are safe to use</w:t>
      </w:r>
      <w:r>
        <w:rPr>
          <w:color w:val="000000" w:themeColor="text1"/>
          <w:sz w:val="22"/>
          <w:szCs w:val="22"/>
        </w:rPr>
        <w:t xml:space="preserve"> for </w:t>
      </w:r>
      <w:r w:rsidRPr="00E8344D">
        <w:rPr>
          <w:color w:val="000000" w:themeColor="text1"/>
          <w:sz w:val="22"/>
          <w:szCs w:val="22"/>
        </w:rPr>
        <w:t>indoor</w:t>
      </w:r>
      <w:r>
        <w:rPr>
          <w:color w:val="000000" w:themeColor="text1"/>
          <w:sz w:val="22"/>
          <w:szCs w:val="22"/>
        </w:rPr>
        <w:t xml:space="preserve"> interior and </w:t>
      </w:r>
      <w:r w:rsidRPr="000B61D3">
        <w:rPr>
          <w:color w:val="000000" w:themeColor="text1"/>
          <w:sz w:val="22"/>
          <w:szCs w:val="22"/>
        </w:rPr>
        <w:t>do not pose significant health risks from radon inhalation under normal ventilation conditions.</w:t>
      </w:r>
    </w:p>
    <w:p w14:paraId="4C304CDC" w14:textId="3900EC4C" w:rsidR="00781B6A" w:rsidRPr="00BB7497" w:rsidRDefault="00A73779" w:rsidP="00550F3D">
      <w:pPr>
        <w:pStyle w:val="AcknowledgmentsClauseTitle"/>
        <w:spacing w:before="0"/>
        <w:jc w:val="left"/>
        <w:rPr>
          <w:rFonts w:ascii="Times New Roman" w:hAnsi="Times New Roman"/>
          <w:sz w:val="22"/>
          <w:szCs w:val="22"/>
        </w:rPr>
      </w:pPr>
      <w:r w:rsidRPr="00BB7497">
        <w:rPr>
          <w:rFonts w:ascii="Times New Roman" w:hAnsi="Times New Roman"/>
          <w:caps w:val="0"/>
          <w:sz w:val="22"/>
          <w:szCs w:val="22"/>
        </w:rPr>
        <w:t>Acknowledgments</w:t>
      </w:r>
    </w:p>
    <w:p w14:paraId="0857C83C" w14:textId="2AA953E1" w:rsidR="00850743" w:rsidRPr="00ED0E27" w:rsidRDefault="00ED0E27" w:rsidP="00ED0E27">
      <w:pPr>
        <w:spacing w:line="259" w:lineRule="auto"/>
        <w:rPr>
          <w:rFonts w:asciiTheme="majorBidi" w:hAnsiTheme="majorBidi" w:cstheme="majorBidi"/>
          <w:sz w:val="22"/>
          <w:szCs w:val="22"/>
        </w:rPr>
      </w:pPr>
      <w:r w:rsidRPr="001562CE">
        <w:rPr>
          <w:rFonts w:asciiTheme="majorBidi" w:hAnsiTheme="majorBidi" w:cstheme="majorBidi"/>
          <w:sz w:val="22"/>
          <w:szCs w:val="22"/>
        </w:rPr>
        <w:t xml:space="preserve">This work is a part of project </w:t>
      </w:r>
      <w:r w:rsidR="004E6B91">
        <w:rPr>
          <w:rFonts w:asciiTheme="majorBidi" w:hAnsiTheme="majorBidi" w:cstheme="majorBidi"/>
          <w:sz w:val="22"/>
          <w:szCs w:val="22"/>
        </w:rPr>
        <w:t>IRC-INNE2404</w:t>
      </w:r>
      <w:r w:rsidRPr="001562CE">
        <w:rPr>
          <w:rFonts w:asciiTheme="majorBidi" w:hAnsiTheme="majorBidi" w:cstheme="majorBidi"/>
          <w:sz w:val="22"/>
          <w:szCs w:val="22"/>
        </w:rPr>
        <w:t xml:space="preserve"> funded by King Fahd University of Petroleum and Minerals, Dhahran, Saudi Arabia.</w:t>
      </w:r>
    </w:p>
    <w:p w14:paraId="0616C663" w14:textId="157FC09F" w:rsidR="00781B6A" w:rsidRPr="00C054AC" w:rsidRDefault="00A73779" w:rsidP="00550F3D">
      <w:pPr>
        <w:pStyle w:val="ReferencesClauseTitle"/>
        <w:spacing w:before="0"/>
        <w:jc w:val="center"/>
        <w:rPr>
          <w:rFonts w:ascii="Times New Roman" w:hAnsi="Times New Roman"/>
          <w:sz w:val="22"/>
          <w:szCs w:val="22"/>
        </w:rPr>
      </w:pPr>
      <w:r w:rsidRPr="00BB7497">
        <w:rPr>
          <w:rFonts w:ascii="Times New Roman" w:hAnsi="Times New Roman"/>
          <w:caps w:val="0"/>
          <w:sz w:val="22"/>
          <w:szCs w:val="22"/>
        </w:rPr>
        <w:t>References</w:t>
      </w:r>
    </w:p>
    <w:p w14:paraId="4FE50314" w14:textId="77777777" w:rsidR="00F83A93" w:rsidRPr="00661E69" w:rsidRDefault="00F83A93" w:rsidP="00F83A93">
      <w:pPr>
        <w:pStyle w:val="ListParagraph"/>
        <w:numPr>
          <w:ilvl w:val="0"/>
          <w:numId w:val="2"/>
        </w:numPr>
        <w:spacing w:after="0" w:line="240" w:lineRule="auto"/>
        <w:ind w:left="360"/>
        <w:jc w:val="both"/>
        <w:rPr>
          <w:rFonts w:ascii="Times New Roman" w:hAnsi="Times New Roman" w:cs="Times New Roman"/>
          <w:sz w:val="22"/>
          <w:szCs w:val="22"/>
        </w:rPr>
      </w:pPr>
      <w:r w:rsidRPr="00661E69">
        <w:rPr>
          <w:rFonts w:ascii="Times New Roman" w:hAnsi="Times New Roman" w:cs="Times New Roman"/>
          <w:sz w:val="22"/>
          <w:szCs w:val="22"/>
        </w:rPr>
        <w:t xml:space="preserve">F. Bochicchio, M. </w:t>
      </w:r>
      <w:proofErr w:type="spellStart"/>
      <w:r w:rsidRPr="00661E69">
        <w:rPr>
          <w:rFonts w:ascii="Times New Roman" w:hAnsi="Times New Roman" w:cs="Times New Roman"/>
          <w:sz w:val="22"/>
          <w:szCs w:val="22"/>
        </w:rPr>
        <w:t>Ampollini</w:t>
      </w:r>
      <w:proofErr w:type="spellEnd"/>
      <w:r w:rsidRPr="00661E69">
        <w:rPr>
          <w:rFonts w:ascii="Times New Roman" w:hAnsi="Times New Roman" w:cs="Times New Roman"/>
          <w:sz w:val="22"/>
          <w:szCs w:val="22"/>
        </w:rPr>
        <w:t xml:space="preserve">, S. Antignani, C. Carpentieri, M. Caprio, B. Caccia, C. D. Carlo, S. Pozzi, S. Valentini, G. </w:t>
      </w:r>
      <w:proofErr w:type="spellStart"/>
      <w:r w:rsidRPr="00661E69">
        <w:rPr>
          <w:rFonts w:ascii="Times New Roman" w:hAnsi="Times New Roman" w:cs="Times New Roman"/>
          <w:sz w:val="22"/>
          <w:szCs w:val="22"/>
        </w:rPr>
        <w:t>Venoso</w:t>
      </w:r>
      <w:proofErr w:type="spellEnd"/>
      <w:r w:rsidRPr="00661E69">
        <w:rPr>
          <w:rFonts w:ascii="Times New Roman" w:hAnsi="Times New Roman" w:cs="Times New Roman"/>
          <w:sz w:val="22"/>
          <w:szCs w:val="22"/>
        </w:rPr>
        <w:t>, Protection from radon in Italy: Past, present and perspectives. Rom. J. Phys. 64, 817 (2019).</w:t>
      </w:r>
    </w:p>
    <w:p w14:paraId="4BFDCD4B" w14:textId="77777777" w:rsidR="00271FA8" w:rsidRPr="00271FA8" w:rsidRDefault="00F83A93" w:rsidP="00271FA8">
      <w:pPr>
        <w:pStyle w:val="ListParagraph"/>
        <w:numPr>
          <w:ilvl w:val="0"/>
          <w:numId w:val="2"/>
        </w:numPr>
        <w:spacing w:after="0" w:line="240" w:lineRule="auto"/>
        <w:ind w:left="360"/>
        <w:jc w:val="both"/>
        <w:rPr>
          <w:rFonts w:ascii="Times New Roman" w:hAnsi="Times New Roman" w:cs="Times New Roman"/>
          <w:sz w:val="22"/>
          <w:szCs w:val="22"/>
        </w:rPr>
      </w:pPr>
      <w:r w:rsidRPr="00661E69">
        <w:rPr>
          <w:rFonts w:ascii="Times New Roman" w:eastAsia="URWPalladioL-Roma" w:hAnsi="Times New Roman" w:cs="Times New Roman"/>
          <w:color w:val="000000" w:themeColor="text1"/>
          <w:kern w:val="0"/>
          <w:sz w:val="22"/>
          <w:szCs w:val="22"/>
        </w:rPr>
        <w:t xml:space="preserve">A. Saad, H.H. Al-Awami, N. Hussein, Radon exhalation from building materials used in Libya. </w:t>
      </w:r>
      <w:proofErr w:type="spellStart"/>
      <w:r w:rsidRPr="00661E69">
        <w:rPr>
          <w:rFonts w:ascii="Times New Roman" w:eastAsia="URWPalladioL-Ital" w:hAnsi="Times New Roman" w:cs="Times New Roman"/>
          <w:color w:val="000000" w:themeColor="text1"/>
          <w:kern w:val="0"/>
          <w:sz w:val="22"/>
          <w:szCs w:val="22"/>
        </w:rPr>
        <w:t>Radiat</w:t>
      </w:r>
      <w:proofErr w:type="spellEnd"/>
      <w:r w:rsidRPr="00661E69">
        <w:rPr>
          <w:rFonts w:ascii="Times New Roman" w:eastAsia="URWPalladioL-Ital" w:hAnsi="Times New Roman" w:cs="Times New Roman"/>
          <w:color w:val="000000" w:themeColor="text1"/>
          <w:kern w:val="0"/>
          <w:sz w:val="22"/>
          <w:szCs w:val="22"/>
        </w:rPr>
        <w:t>. Phys. Chem.</w:t>
      </w:r>
      <w:r w:rsidRPr="00661E69">
        <w:rPr>
          <w:rFonts w:ascii="Times New Roman" w:eastAsia="URWPalladioL-Roma" w:hAnsi="Times New Roman" w:cs="Times New Roman"/>
          <w:color w:val="000000" w:themeColor="text1"/>
          <w:kern w:val="0"/>
          <w:sz w:val="22"/>
          <w:szCs w:val="22"/>
        </w:rPr>
        <w:t xml:space="preserve"> </w:t>
      </w:r>
      <w:r w:rsidRPr="00661E69">
        <w:rPr>
          <w:rFonts w:ascii="Times New Roman" w:eastAsia="URWPalladioL-Ital" w:hAnsi="Times New Roman" w:cs="Times New Roman"/>
          <w:color w:val="000000" w:themeColor="text1"/>
          <w:kern w:val="0"/>
          <w:sz w:val="22"/>
          <w:szCs w:val="22"/>
        </w:rPr>
        <w:t>101</w:t>
      </w:r>
      <w:r w:rsidRPr="00661E69">
        <w:rPr>
          <w:rFonts w:ascii="Times New Roman" w:eastAsia="URWPalladioL-Roma" w:hAnsi="Times New Roman" w:cs="Times New Roman"/>
          <w:color w:val="000000" w:themeColor="text1"/>
          <w:kern w:val="0"/>
          <w:sz w:val="22"/>
          <w:szCs w:val="22"/>
        </w:rPr>
        <w:t>, 15–19 (2014).</w:t>
      </w:r>
    </w:p>
    <w:p w14:paraId="578BD4EE" w14:textId="77777777" w:rsidR="007A4424" w:rsidRDefault="00271FA8" w:rsidP="007A4424">
      <w:pPr>
        <w:pStyle w:val="ListParagraph"/>
        <w:numPr>
          <w:ilvl w:val="0"/>
          <w:numId w:val="2"/>
        </w:numPr>
        <w:spacing w:after="0" w:line="240" w:lineRule="auto"/>
        <w:ind w:left="360"/>
        <w:jc w:val="both"/>
        <w:rPr>
          <w:rFonts w:ascii="Times New Roman" w:hAnsi="Times New Roman" w:cs="Times New Roman"/>
          <w:sz w:val="22"/>
          <w:szCs w:val="22"/>
        </w:rPr>
      </w:pPr>
      <w:r w:rsidRPr="00271FA8">
        <w:rPr>
          <w:rFonts w:ascii="Times New Roman" w:hAnsi="Times New Roman" w:cs="Times New Roman"/>
          <w:sz w:val="22"/>
          <w:szCs w:val="22"/>
        </w:rPr>
        <w:t>United Nations Scientific Committee on the Effects of Atomic Radiation (UNSCEAR). Sources and Effects of Ionizing Radiation, United Nations, New York, USA, Volume I, 2000.</w:t>
      </w:r>
    </w:p>
    <w:p w14:paraId="6CDC9056" w14:textId="72CDADA7" w:rsidR="00F403F4" w:rsidRPr="007A4424" w:rsidRDefault="00CD1AC7" w:rsidP="007A4424">
      <w:pPr>
        <w:pStyle w:val="ListParagraph"/>
        <w:numPr>
          <w:ilvl w:val="0"/>
          <w:numId w:val="2"/>
        </w:numPr>
        <w:spacing w:after="0" w:line="240" w:lineRule="auto"/>
        <w:ind w:left="360"/>
        <w:jc w:val="both"/>
        <w:rPr>
          <w:rFonts w:ascii="Times New Roman" w:hAnsi="Times New Roman" w:cs="Times New Roman"/>
          <w:sz w:val="22"/>
          <w:szCs w:val="22"/>
        </w:rPr>
      </w:pPr>
      <w:r w:rsidRPr="007A4424">
        <w:rPr>
          <w:rFonts w:ascii="Times New Roman" w:hAnsi="Times New Roman" w:cs="Times New Roman"/>
          <w:sz w:val="22"/>
          <w:szCs w:val="22"/>
        </w:rPr>
        <w:t>ICRP, Compendium of dose coefficients based on ICRP publication 60, 2012.</w:t>
      </w:r>
    </w:p>
    <w:sectPr w:rsidR="00F403F4" w:rsidRPr="007A4424" w:rsidSect="00D964A7">
      <w:footerReference w:type="default" r:id="rId21"/>
      <w:type w:val="continuous"/>
      <w:pgSz w:w="12240" w:h="15840"/>
      <w:pgMar w:top="1440" w:right="1080" w:bottom="1440" w:left="1080" w:header="432" w:footer="720" w:gutter="0"/>
      <w:cols w:num="2" w:space="540" w:equalWidth="0">
        <w:col w:w="4770" w:space="540"/>
        <w:col w:w="47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1B85" w14:textId="77777777" w:rsidR="009F2FA8" w:rsidRDefault="009F2FA8">
      <w:r>
        <w:separator/>
      </w:r>
    </w:p>
  </w:endnote>
  <w:endnote w:type="continuationSeparator" w:id="0">
    <w:p w14:paraId="0B82391E" w14:textId="77777777" w:rsidR="009F2FA8" w:rsidRDefault="009F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URWPalladioL-Roma">
    <w:altName w:val="Yu Gothic"/>
    <w:panose1 w:val="00000000000000000000"/>
    <w:charset w:val="80"/>
    <w:family w:val="auto"/>
    <w:notTrueType/>
    <w:pitch w:val="default"/>
    <w:sig w:usb0="00000003" w:usb1="08070000" w:usb2="00000010" w:usb3="00000000" w:csb0="00020001" w:csb1="00000000"/>
  </w:font>
  <w:font w:name="URWPalladioL-Ital">
    <w:altName w:val="Yu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BA2D" w14:textId="77777777" w:rsidR="008459EE" w:rsidRDefault="00845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106444"/>
      <w:docPartObj>
        <w:docPartGallery w:val="Page Numbers (Bottom of Page)"/>
        <w:docPartUnique/>
      </w:docPartObj>
    </w:sdtPr>
    <w:sdtEndPr>
      <w:rPr>
        <w:noProof/>
      </w:rPr>
    </w:sdtEndPr>
    <w:sdtContent>
      <w:p w14:paraId="4BAE5E3E" w14:textId="0B93C50F" w:rsidR="00136502" w:rsidRDefault="001365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163B96" w14:textId="77777777" w:rsidR="00781B6A" w:rsidRDefault="00781B6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8B4B" w14:textId="77777777" w:rsidR="008459EE" w:rsidRDefault="008459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2AA7" w14:textId="77777777" w:rsidR="00781B6A" w:rsidRDefault="00781B6A">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8C3C" w14:textId="77777777" w:rsidR="009F2FA8" w:rsidRDefault="009F2FA8">
      <w:r>
        <w:separator/>
      </w:r>
    </w:p>
  </w:footnote>
  <w:footnote w:type="continuationSeparator" w:id="0">
    <w:p w14:paraId="50B1039D" w14:textId="77777777" w:rsidR="009F2FA8" w:rsidRDefault="009F2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7BB8" w14:textId="77777777" w:rsidR="008459EE" w:rsidRDefault="00845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8A31" w14:textId="61B622CC" w:rsidR="00310711" w:rsidRDefault="00E37DA7" w:rsidP="00310711">
    <w:pPr>
      <w:ind w:right="112"/>
      <w:rPr>
        <w:rFonts w:ascii="Calibri" w:hAnsi="Calibri" w:cs="Calibri"/>
        <w:spacing w:val="-4"/>
        <w:sz w:val="18"/>
        <w:szCs w:val="22"/>
      </w:rPr>
    </w:pPr>
    <w:r>
      <w:rPr>
        <w:rFonts w:ascii="Calibri" w:hAnsi="Calibri" w:cs="Calibri"/>
        <w:noProof/>
        <w:spacing w:val="-4"/>
        <w:sz w:val="18"/>
        <w:szCs w:val="22"/>
      </w:rPr>
      <w:drawing>
        <wp:anchor distT="0" distB="0" distL="114300" distR="114300" simplePos="0" relativeHeight="251658240" behindDoc="0" locked="0" layoutInCell="1" allowOverlap="1" wp14:anchorId="2361E2B9" wp14:editId="749BABF3">
          <wp:simplePos x="0" y="0"/>
          <wp:positionH relativeFrom="column">
            <wp:posOffset>0</wp:posOffset>
          </wp:positionH>
          <wp:positionV relativeFrom="paragraph">
            <wp:posOffset>0</wp:posOffset>
          </wp:positionV>
          <wp:extent cx="2956560" cy="53803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56560" cy="538037"/>
                  </a:xfrm>
                  <a:prstGeom prst="rect">
                    <a:avLst/>
                  </a:prstGeom>
                </pic:spPr>
              </pic:pic>
            </a:graphicData>
          </a:graphic>
        </wp:anchor>
      </w:drawing>
    </w:r>
    <w:r w:rsidR="00310711">
      <w:rPr>
        <w:rFonts w:ascii="Calibri" w:hAnsi="Calibri" w:cs="Calibri"/>
        <w:spacing w:val="-4"/>
        <w:sz w:val="18"/>
        <w:szCs w:val="22"/>
      </w:rPr>
      <w:t xml:space="preserve">                           </w:t>
    </w:r>
  </w:p>
  <w:p w14:paraId="0963291C" w14:textId="0E206B83" w:rsidR="001A7F8D" w:rsidRPr="000B12D5" w:rsidRDefault="00310711" w:rsidP="00310711">
    <w:pPr>
      <w:ind w:left="4320" w:right="112"/>
      <w:jc w:val="right"/>
      <w:rPr>
        <w:rFonts w:asciiTheme="majorBidi" w:hAnsiTheme="majorBidi" w:cstheme="majorBidi"/>
        <w:spacing w:val="-3"/>
        <w:sz w:val="18"/>
        <w:szCs w:val="22"/>
      </w:rPr>
    </w:pPr>
    <w:r>
      <w:rPr>
        <w:rFonts w:ascii="Calibri" w:hAnsi="Calibri" w:cs="Calibri"/>
        <w:spacing w:val="-4"/>
        <w:sz w:val="18"/>
        <w:szCs w:val="22"/>
      </w:rPr>
      <w:t xml:space="preserve">            </w:t>
    </w:r>
    <w:r w:rsidR="001A7F8D" w:rsidRPr="000B12D5">
      <w:rPr>
        <w:rFonts w:asciiTheme="majorBidi" w:hAnsiTheme="majorBidi" w:cstheme="majorBidi"/>
        <w:spacing w:val="-4"/>
        <w:sz w:val="18"/>
        <w:szCs w:val="22"/>
      </w:rPr>
      <w:t xml:space="preserve">Proceedings of </w:t>
    </w:r>
    <w:r w:rsidRPr="000B12D5">
      <w:rPr>
        <w:rFonts w:asciiTheme="majorBidi" w:hAnsiTheme="majorBidi" w:cstheme="majorBidi"/>
        <w:spacing w:val="-3"/>
        <w:sz w:val="18"/>
        <w:szCs w:val="22"/>
      </w:rPr>
      <w:t>SCOPE</w:t>
    </w:r>
  </w:p>
  <w:p w14:paraId="176AE24C" w14:textId="67E37822" w:rsidR="00781B6A" w:rsidRPr="000B12D5" w:rsidRDefault="00310711" w:rsidP="00310711">
    <w:pPr>
      <w:ind w:right="112"/>
      <w:jc w:val="right"/>
      <w:rPr>
        <w:rFonts w:asciiTheme="majorBidi" w:hAnsiTheme="majorBidi" w:cstheme="majorBidi"/>
        <w:sz w:val="18"/>
        <w:szCs w:val="22"/>
      </w:rPr>
    </w:pPr>
    <w:r w:rsidRPr="000B12D5">
      <w:rPr>
        <w:rFonts w:asciiTheme="majorBidi" w:hAnsiTheme="majorBidi" w:cstheme="majorBidi"/>
        <w:spacing w:val="-3"/>
        <w:sz w:val="18"/>
        <w:szCs w:val="22"/>
      </w:rPr>
      <w:t xml:space="preserve">                                                                    </w:t>
    </w:r>
    <w:r w:rsidR="008459EE">
      <w:rPr>
        <w:rFonts w:asciiTheme="majorBidi" w:hAnsiTheme="majorBidi" w:cstheme="majorBidi"/>
        <w:spacing w:val="-3"/>
        <w:sz w:val="18"/>
        <w:szCs w:val="22"/>
      </w:rPr>
      <w:t>2-6,</w:t>
    </w:r>
    <w:r w:rsidR="008459EE">
      <w:rPr>
        <w:rFonts w:asciiTheme="majorBidi" w:hAnsiTheme="majorBidi" w:cstheme="majorBidi"/>
        <w:spacing w:val="-9"/>
        <w:sz w:val="18"/>
        <w:szCs w:val="22"/>
      </w:rPr>
      <w:t xml:space="preserve"> </w:t>
    </w:r>
    <w:r w:rsidRPr="000B12D5">
      <w:rPr>
        <w:rFonts w:asciiTheme="majorBidi" w:hAnsiTheme="majorBidi" w:cstheme="majorBidi"/>
        <w:spacing w:val="-9"/>
        <w:sz w:val="18"/>
        <w:szCs w:val="22"/>
      </w:rPr>
      <w:t>Nov.</w:t>
    </w:r>
    <w:r w:rsidR="001A7F8D" w:rsidRPr="000B12D5">
      <w:rPr>
        <w:rFonts w:asciiTheme="majorBidi" w:hAnsiTheme="majorBidi" w:cstheme="majorBidi"/>
        <w:spacing w:val="-6"/>
        <w:sz w:val="18"/>
        <w:szCs w:val="22"/>
      </w:rPr>
      <w:t xml:space="preserve"> </w:t>
    </w:r>
    <w:r w:rsidR="001A7F8D" w:rsidRPr="000B12D5">
      <w:rPr>
        <w:rFonts w:asciiTheme="majorBidi" w:hAnsiTheme="majorBidi" w:cstheme="majorBidi"/>
        <w:spacing w:val="-3"/>
        <w:sz w:val="18"/>
        <w:szCs w:val="22"/>
      </w:rPr>
      <w:t>202</w:t>
    </w:r>
    <w:r w:rsidR="008459EE">
      <w:rPr>
        <w:rFonts w:asciiTheme="majorBidi" w:hAnsiTheme="majorBidi" w:cstheme="majorBidi"/>
        <w:spacing w:val="-3"/>
        <w:sz w:val="18"/>
        <w:szCs w:val="22"/>
      </w:rPr>
      <w:t>5</w:t>
    </w:r>
    <w:r w:rsidR="001A7F8D" w:rsidRPr="000B12D5">
      <w:rPr>
        <w:rFonts w:asciiTheme="majorBidi" w:hAnsiTheme="majorBidi" w:cstheme="majorBidi"/>
        <w:spacing w:val="-6"/>
        <w:sz w:val="18"/>
        <w:szCs w:val="22"/>
      </w:rPr>
      <w:t xml:space="preserve"> </w:t>
    </w:r>
    <w:r w:rsidR="001A7F8D" w:rsidRPr="000B12D5">
      <w:rPr>
        <w:rFonts w:asciiTheme="majorBidi" w:hAnsiTheme="majorBidi" w:cstheme="majorBidi"/>
        <w:spacing w:val="-3"/>
        <w:sz w:val="18"/>
        <w:szCs w:val="22"/>
      </w:rPr>
      <w:t>–</w:t>
    </w:r>
    <w:r w:rsidR="001A7F8D" w:rsidRPr="000B12D5">
      <w:rPr>
        <w:rFonts w:asciiTheme="majorBidi" w:hAnsiTheme="majorBidi" w:cstheme="majorBidi"/>
        <w:spacing w:val="-13"/>
        <w:sz w:val="18"/>
        <w:szCs w:val="22"/>
      </w:rPr>
      <w:t xml:space="preserve"> </w:t>
    </w:r>
    <w:r w:rsidRPr="000B12D5">
      <w:rPr>
        <w:rFonts w:asciiTheme="majorBidi" w:hAnsiTheme="majorBidi" w:cstheme="majorBidi"/>
        <w:sz w:val="18"/>
        <w:szCs w:val="22"/>
      </w:rPr>
      <w:t>KFUPM</w:t>
    </w:r>
  </w:p>
  <w:p w14:paraId="7B8603BE" w14:textId="68375B01" w:rsidR="00DE2928" w:rsidRPr="000B12D5" w:rsidRDefault="00DE2928" w:rsidP="00310711">
    <w:pPr>
      <w:ind w:right="112"/>
      <w:jc w:val="right"/>
      <w:rPr>
        <w:rFonts w:asciiTheme="majorBidi" w:hAnsiTheme="majorBidi" w:cstheme="majorBidi"/>
        <w:sz w:val="18"/>
        <w:szCs w:val="22"/>
      </w:rPr>
    </w:pPr>
    <w:r w:rsidRPr="000B12D5">
      <w:rPr>
        <w:rFonts w:asciiTheme="majorBidi" w:hAnsiTheme="majorBidi" w:cstheme="majorBidi"/>
        <w:sz w:val="18"/>
        <w:szCs w:val="22"/>
      </w:rPr>
      <w:t>Paper 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F00B" w14:textId="77777777" w:rsidR="008459EE" w:rsidRDefault="00845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5949"/>
    <w:multiLevelType w:val="hybridMultilevel"/>
    <w:tmpl w:val="54C44466"/>
    <w:lvl w:ilvl="0" w:tplc="6D8AD0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6B3F0E"/>
    <w:multiLevelType w:val="hybridMultilevel"/>
    <w:tmpl w:val="1EB43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61596996">
    <w:abstractNumId w:val="1"/>
  </w:num>
  <w:num w:numId="2" w16cid:durableId="92984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NewFlag" w:val="Yes"/>
    <w:docVar w:name="CreateASMEToolbarFlag" w:val="-1"/>
    <w:docVar w:name="MarkTerritory" w:val="D:\ASME\proposal\AuthKit\version2\irvine7.doc by Howard Kaikow with template C:\msoffice\Templates\ASME.dot on 02/29/96 at 11:01"/>
    <w:docVar w:name="MarkTerritoryLocal" w:val="Document2 by Howard Kaikow with template C:\msoffice\Templates\ASME.dot on 02/29/96 at 10:39"/>
    <w:docVar w:name="SetStylesFlag" w:val="-1"/>
  </w:docVars>
  <w:rsids>
    <w:rsidRoot w:val="00913B5D"/>
    <w:rsid w:val="00026943"/>
    <w:rsid w:val="00031F52"/>
    <w:rsid w:val="00037338"/>
    <w:rsid w:val="0004226E"/>
    <w:rsid w:val="00042A2D"/>
    <w:rsid w:val="00052CFC"/>
    <w:rsid w:val="00056B28"/>
    <w:rsid w:val="00064E2D"/>
    <w:rsid w:val="00065AB0"/>
    <w:rsid w:val="00070216"/>
    <w:rsid w:val="000846E7"/>
    <w:rsid w:val="00093FBF"/>
    <w:rsid w:val="000A3544"/>
    <w:rsid w:val="000A60F8"/>
    <w:rsid w:val="000A768C"/>
    <w:rsid w:val="000B12D5"/>
    <w:rsid w:val="000B6366"/>
    <w:rsid w:val="000B7C7F"/>
    <w:rsid w:val="000C7BB5"/>
    <w:rsid w:val="000E094C"/>
    <w:rsid w:val="000E3F80"/>
    <w:rsid w:val="000F15E1"/>
    <w:rsid w:val="000F43AE"/>
    <w:rsid w:val="000F5AAA"/>
    <w:rsid w:val="000F7F8B"/>
    <w:rsid w:val="00100D5D"/>
    <w:rsid w:val="001039CB"/>
    <w:rsid w:val="00110B79"/>
    <w:rsid w:val="00136502"/>
    <w:rsid w:val="001479A0"/>
    <w:rsid w:val="0015418B"/>
    <w:rsid w:val="00154422"/>
    <w:rsid w:val="00156FF8"/>
    <w:rsid w:val="00162337"/>
    <w:rsid w:val="00164B81"/>
    <w:rsid w:val="00166523"/>
    <w:rsid w:val="001672A8"/>
    <w:rsid w:val="001713CE"/>
    <w:rsid w:val="00175EE0"/>
    <w:rsid w:val="0018646C"/>
    <w:rsid w:val="00190101"/>
    <w:rsid w:val="00197BB8"/>
    <w:rsid w:val="001A1642"/>
    <w:rsid w:val="001A607F"/>
    <w:rsid w:val="001A7F8D"/>
    <w:rsid w:val="001B40B1"/>
    <w:rsid w:val="001B7269"/>
    <w:rsid w:val="001C057E"/>
    <w:rsid w:val="001C40C2"/>
    <w:rsid w:val="001D5DCA"/>
    <w:rsid w:val="001F04AA"/>
    <w:rsid w:val="00201D3F"/>
    <w:rsid w:val="0022594E"/>
    <w:rsid w:val="002365BC"/>
    <w:rsid w:val="00240349"/>
    <w:rsid w:val="00244E74"/>
    <w:rsid w:val="00251BF7"/>
    <w:rsid w:val="0025465A"/>
    <w:rsid w:val="00265EAC"/>
    <w:rsid w:val="0026712E"/>
    <w:rsid w:val="00271FA8"/>
    <w:rsid w:val="002726E2"/>
    <w:rsid w:val="00277D05"/>
    <w:rsid w:val="002871B1"/>
    <w:rsid w:val="0029380B"/>
    <w:rsid w:val="002A4D97"/>
    <w:rsid w:val="002A72C3"/>
    <w:rsid w:val="002A758C"/>
    <w:rsid w:val="002B7BB7"/>
    <w:rsid w:val="002D565F"/>
    <w:rsid w:val="002E750D"/>
    <w:rsid w:val="002F06E3"/>
    <w:rsid w:val="002F1642"/>
    <w:rsid w:val="00300569"/>
    <w:rsid w:val="00310711"/>
    <w:rsid w:val="00313CCF"/>
    <w:rsid w:val="00322E48"/>
    <w:rsid w:val="00346394"/>
    <w:rsid w:val="00346407"/>
    <w:rsid w:val="0035255A"/>
    <w:rsid w:val="00361FDC"/>
    <w:rsid w:val="0037087D"/>
    <w:rsid w:val="003725D8"/>
    <w:rsid w:val="003735B9"/>
    <w:rsid w:val="00381ED2"/>
    <w:rsid w:val="003857DC"/>
    <w:rsid w:val="00385F97"/>
    <w:rsid w:val="003903CD"/>
    <w:rsid w:val="00392985"/>
    <w:rsid w:val="003950D8"/>
    <w:rsid w:val="0039718F"/>
    <w:rsid w:val="003B1751"/>
    <w:rsid w:val="003B2355"/>
    <w:rsid w:val="003C0B1A"/>
    <w:rsid w:val="003D2084"/>
    <w:rsid w:val="003E5E17"/>
    <w:rsid w:val="00405ED1"/>
    <w:rsid w:val="00457566"/>
    <w:rsid w:val="0045795F"/>
    <w:rsid w:val="00460E26"/>
    <w:rsid w:val="0046609C"/>
    <w:rsid w:val="00486579"/>
    <w:rsid w:val="004914F2"/>
    <w:rsid w:val="00491F04"/>
    <w:rsid w:val="004B2089"/>
    <w:rsid w:val="004D4FB9"/>
    <w:rsid w:val="004E1E51"/>
    <w:rsid w:val="004E337A"/>
    <w:rsid w:val="004E5612"/>
    <w:rsid w:val="004E64DF"/>
    <w:rsid w:val="004E6B91"/>
    <w:rsid w:val="004F551B"/>
    <w:rsid w:val="00514AC8"/>
    <w:rsid w:val="005152BF"/>
    <w:rsid w:val="00524727"/>
    <w:rsid w:val="00536E06"/>
    <w:rsid w:val="005477F6"/>
    <w:rsid w:val="00547F17"/>
    <w:rsid w:val="00550F3D"/>
    <w:rsid w:val="00557591"/>
    <w:rsid w:val="00561E4D"/>
    <w:rsid w:val="0056478D"/>
    <w:rsid w:val="0057427C"/>
    <w:rsid w:val="00583B04"/>
    <w:rsid w:val="00592CCB"/>
    <w:rsid w:val="00594A15"/>
    <w:rsid w:val="00594E69"/>
    <w:rsid w:val="00595CBE"/>
    <w:rsid w:val="00597468"/>
    <w:rsid w:val="005A638A"/>
    <w:rsid w:val="005B2B87"/>
    <w:rsid w:val="005B2FA1"/>
    <w:rsid w:val="005B6A87"/>
    <w:rsid w:val="005C68F2"/>
    <w:rsid w:val="005D37E8"/>
    <w:rsid w:val="005D3ECC"/>
    <w:rsid w:val="005E3E42"/>
    <w:rsid w:val="005E4871"/>
    <w:rsid w:val="005E4C3B"/>
    <w:rsid w:val="00606603"/>
    <w:rsid w:val="00607F9D"/>
    <w:rsid w:val="00617A44"/>
    <w:rsid w:val="00626278"/>
    <w:rsid w:val="00627E87"/>
    <w:rsid w:val="006404F3"/>
    <w:rsid w:val="00640E32"/>
    <w:rsid w:val="00647408"/>
    <w:rsid w:val="00654432"/>
    <w:rsid w:val="00661E69"/>
    <w:rsid w:val="00691E09"/>
    <w:rsid w:val="006948D8"/>
    <w:rsid w:val="006A3F34"/>
    <w:rsid w:val="006A4A33"/>
    <w:rsid w:val="006B292F"/>
    <w:rsid w:val="006C4FA0"/>
    <w:rsid w:val="006F7117"/>
    <w:rsid w:val="00703FAA"/>
    <w:rsid w:val="0071472E"/>
    <w:rsid w:val="00721567"/>
    <w:rsid w:val="007379A6"/>
    <w:rsid w:val="0074277C"/>
    <w:rsid w:val="00746EA3"/>
    <w:rsid w:val="00751961"/>
    <w:rsid w:val="0075282C"/>
    <w:rsid w:val="00771D24"/>
    <w:rsid w:val="00777312"/>
    <w:rsid w:val="00781B6A"/>
    <w:rsid w:val="007826DA"/>
    <w:rsid w:val="0078570B"/>
    <w:rsid w:val="007878E0"/>
    <w:rsid w:val="00795C5B"/>
    <w:rsid w:val="007965F6"/>
    <w:rsid w:val="007A3C95"/>
    <w:rsid w:val="007A4424"/>
    <w:rsid w:val="007A44F9"/>
    <w:rsid w:val="007B0A22"/>
    <w:rsid w:val="007B4F83"/>
    <w:rsid w:val="007B6173"/>
    <w:rsid w:val="007B61C8"/>
    <w:rsid w:val="007B73B2"/>
    <w:rsid w:val="007C1C66"/>
    <w:rsid w:val="007F6AC2"/>
    <w:rsid w:val="00822781"/>
    <w:rsid w:val="008229EF"/>
    <w:rsid w:val="008431E0"/>
    <w:rsid w:val="008459EE"/>
    <w:rsid w:val="008467C5"/>
    <w:rsid w:val="00850743"/>
    <w:rsid w:val="00867316"/>
    <w:rsid w:val="008732A0"/>
    <w:rsid w:val="00887A73"/>
    <w:rsid w:val="00890B80"/>
    <w:rsid w:val="00891C89"/>
    <w:rsid w:val="008A7578"/>
    <w:rsid w:val="008C3842"/>
    <w:rsid w:val="008E7DAE"/>
    <w:rsid w:val="00900255"/>
    <w:rsid w:val="00910207"/>
    <w:rsid w:val="009129B8"/>
    <w:rsid w:val="00913899"/>
    <w:rsid w:val="00913B5D"/>
    <w:rsid w:val="00937E36"/>
    <w:rsid w:val="00950250"/>
    <w:rsid w:val="00950733"/>
    <w:rsid w:val="00961716"/>
    <w:rsid w:val="00973F33"/>
    <w:rsid w:val="00976933"/>
    <w:rsid w:val="0098322B"/>
    <w:rsid w:val="00987211"/>
    <w:rsid w:val="009A5B13"/>
    <w:rsid w:val="009B071A"/>
    <w:rsid w:val="009B2FBF"/>
    <w:rsid w:val="009B75D2"/>
    <w:rsid w:val="009C4D9E"/>
    <w:rsid w:val="009C55F6"/>
    <w:rsid w:val="009D00B4"/>
    <w:rsid w:val="009D5523"/>
    <w:rsid w:val="009E048A"/>
    <w:rsid w:val="009F2FA8"/>
    <w:rsid w:val="009F6363"/>
    <w:rsid w:val="00A027ED"/>
    <w:rsid w:val="00A03C8F"/>
    <w:rsid w:val="00A0476B"/>
    <w:rsid w:val="00A04828"/>
    <w:rsid w:val="00A05D2A"/>
    <w:rsid w:val="00A07B8B"/>
    <w:rsid w:val="00A14E8E"/>
    <w:rsid w:val="00A229B1"/>
    <w:rsid w:val="00A27D1A"/>
    <w:rsid w:val="00A40CD8"/>
    <w:rsid w:val="00A41E4F"/>
    <w:rsid w:val="00A54BC9"/>
    <w:rsid w:val="00A643C1"/>
    <w:rsid w:val="00A73779"/>
    <w:rsid w:val="00A83A17"/>
    <w:rsid w:val="00A8785E"/>
    <w:rsid w:val="00A952B6"/>
    <w:rsid w:val="00A95D7A"/>
    <w:rsid w:val="00A96CB7"/>
    <w:rsid w:val="00AA0780"/>
    <w:rsid w:val="00AA6B14"/>
    <w:rsid w:val="00AA6DBC"/>
    <w:rsid w:val="00AB041E"/>
    <w:rsid w:val="00AB51A9"/>
    <w:rsid w:val="00AB59A3"/>
    <w:rsid w:val="00AC369A"/>
    <w:rsid w:val="00AC6B7F"/>
    <w:rsid w:val="00AD1A82"/>
    <w:rsid w:val="00AE2351"/>
    <w:rsid w:val="00AE2B8F"/>
    <w:rsid w:val="00AF0EDF"/>
    <w:rsid w:val="00AF617D"/>
    <w:rsid w:val="00B029D3"/>
    <w:rsid w:val="00B16B23"/>
    <w:rsid w:val="00B22151"/>
    <w:rsid w:val="00B23469"/>
    <w:rsid w:val="00B409A3"/>
    <w:rsid w:val="00B473DB"/>
    <w:rsid w:val="00B56A93"/>
    <w:rsid w:val="00B609B0"/>
    <w:rsid w:val="00B65742"/>
    <w:rsid w:val="00B759B8"/>
    <w:rsid w:val="00B8577F"/>
    <w:rsid w:val="00B858D5"/>
    <w:rsid w:val="00B85AD7"/>
    <w:rsid w:val="00B860E3"/>
    <w:rsid w:val="00B90C92"/>
    <w:rsid w:val="00B919C7"/>
    <w:rsid w:val="00BA0C61"/>
    <w:rsid w:val="00BA5B19"/>
    <w:rsid w:val="00BB2FAB"/>
    <w:rsid w:val="00BB3255"/>
    <w:rsid w:val="00BB7497"/>
    <w:rsid w:val="00BC3170"/>
    <w:rsid w:val="00BD0BDF"/>
    <w:rsid w:val="00BD39D0"/>
    <w:rsid w:val="00BE2B17"/>
    <w:rsid w:val="00BE7269"/>
    <w:rsid w:val="00BF5EEC"/>
    <w:rsid w:val="00C006C9"/>
    <w:rsid w:val="00C054AC"/>
    <w:rsid w:val="00C05ACE"/>
    <w:rsid w:val="00C05F14"/>
    <w:rsid w:val="00C13B01"/>
    <w:rsid w:val="00C16186"/>
    <w:rsid w:val="00C22B56"/>
    <w:rsid w:val="00C26700"/>
    <w:rsid w:val="00C322DD"/>
    <w:rsid w:val="00C33C75"/>
    <w:rsid w:val="00C434EF"/>
    <w:rsid w:val="00C45E75"/>
    <w:rsid w:val="00C563C6"/>
    <w:rsid w:val="00C634CC"/>
    <w:rsid w:val="00C6456E"/>
    <w:rsid w:val="00C64B0F"/>
    <w:rsid w:val="00C83170"/>
    <w:rsid w:val="00C9472C"/>
    <w:rsid w:val="00C96147"/>
    <w:rsid w:val="00CB21D4"/>
    <w:rsid w:val="00CB60EB"/>
    <w:rsid w:val="00CB616A"/>
    <w:rsid w:val="00CC6C37"/>
    <w:rsid w:val="00CD0EDC"/>
    <w:rsid w:val="00CD18F8"/>
    <w:rsid w:val="00CD1AC7"/>
    <w:rsid w:val="00CD1F17"/>
    <w:rsid w:val="00CD6F39"/>
    <w:rsid w:val="00CE2A3B"/>
    <w:rsid w:val="00CE2E0C"/>
    <w:rsid w:val="00CF095B"/>
    <w:rsid w:val="00CF5D63"/>
    <w:rsid w:val="00D015D4"/>
    <w:rsid w:val="00D17BBA"/>
    <w:rsid w:val="00D43279"/>
    <w:rsid w:val="00D532C6"/>
    <w:rsid w:val="00D55949"/>
    <w:rsid w:val="00D678E4"/>
    <w:rsid w:val="00D77F91"/>
    <w:rsid w:val="00D82707"/>
    <w:rsid w:val="00D85CDB"/>
    <w:rsid w:val="00D964A7"/>
    <w:rsid w:val="00DC1BE2"/>
    <w:rsid w:val="00DC3559"/>
    <w:rsid w:val="00DC4DD3"/>
    <w:rsid w:val="00DD4A22"/>
    <w:rsid w:val="00DE2928"/>
    <w:rsid w:val="00DE5D45"/>
    <w:rsid w:val="00DF12D2"/>
    <w:rsid w:val="00DF38CF"/>
    <w:rsid w:val="00DF64D8"/>
    <w:rsid w:val="00DF7C1C"/>
    <w:rsid w:val="00E02012"/>
    <w:rsid w:val="00E03F01"/>
    <w:rsid w:val="00E065A9"/>
    <w:rsid w:val="00E145BD"/>
    <w:rsid w:val="00E1565E"/>
    <w:rsid w:val="00E17EA8"/>
    <w:rsid w:val="00E30F51"/>
    <w:rsid w:val="00E37DA7"/>
    <w:rsid w:val="00E562A8"/>
    <w:rsid w:val="00E63DF8"/>
    <w:rsid w:val="00E7198B"/>
    <w:rsid w:val="00E72B98"/>
    <w:rsid w:val="00E7379D"/>
    <w:rsid w:val="00E87866"/>
    <w:rsid w:val="00E93F48"/>
    <w:rsid w:val="00E94571"/>
    <w:rsid w:val="00EA1766"/>
    <w:rsid w:val="00EA2933"/>
    <w:rsid w:val="00EA3A6A"/>
    <w:rsid w:val="00EC3B48"/>
    <w:rsid w:val="00ED0E27"/>
    <w:rsid w:val="00ED3B87"/>
    <w:rsid w:val="00EE0C89"/>
    <w:rsid w:val="00EE2616"/>
    <w:rsid w:val="00EE52CA"/>
    <w:rsid w:val="00EF08F1"/>
    <w:rsid w:val="00EF29ED"/>
    <w:rsid w:val="00F10334"/>
    <w:rsid w:val="00F136A2"/>
    <w:rsid w:val="00F1585A"/>
    <w:rsid w:val="00F212F3"/>
    <w:rsid w:val="00F30575"/>
    <w:rsid w:val="00F34F6E"/>
    <w:rsid w:val="00F403F4"/>
    <w:rsid w:val="00F505FF"/>
    <w:rsid w:val="00F5101A"/>
    <w:rsid w:val="00F609A2"/>
    <w:rsid w:val="00F806BA"/>
    <w:rsid w:val="00F83A93"/>
    <w:rsid w:val="00F92A87"/>
    <w:rsid w:val="00F93E85"/>
    <w:rsid w:val="00FA3BC6"/>
    <w:rsid w:val="00FC0B72"/>
    <w:rsid w:val="00FE247B"/>
    <w:rsid w:val="00FE7E91"/>
    <w:rsid w:val="00FF09D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C1B45"/>
  <w15:docId w15:val="{94E0892D-F0DE-4C00-9A1E-3D67B9A3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D8"/>
    <w:pPr>
      <w:suppressAutoHyphens/>
      <w:jc w:val="both"/>
    </w:pPr>
    <w:rPr>
      <w:kern w:val="14"/>
    </w:rPr>
  </w:style>
  <w:style w:type="paragraph" w:styleId="Heading1">
    <w:name w:val="heading 1"/>
    <w:basedOn w:val="Normal"/>
    <w:next w:val="Normal"/>
    <w:link w:val="Heading1Char"/>
    <w:qFormat/>
    <w:rsid w:val="00D964A7"/>
    <w:pPr>
      <w:keepNext/>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ClauseTitle">
    <w:name w:val="Abstract Clause Title"/>
    <w:basedOn w:val="Normal"/>
    <w:next w:val="BodyTextIndent"/>
    <w:rsid w:val="00D964A7"/>
    <w:pPr>
      <w:keepNext/>
    </w:pPr>
    <w:rPr>
      <w:rFonts w:ascii="Arial" w:hAnsi="Arial"/>
      <w:b/>
      <w:caps/>
    </w:rPr>
  </w:style>
  <w:style w:type="paragraph" w:styleId="BodyTextIndent">
    <w:name w:val="Body Text Indent"/>
    <w:basedOn w:val="Normal"/>
    <w:semiHidden/>
    <w:rsid w:val="00D964A7"/>
    <w:pPr>
      <w:ind w:firstLine="360"/>
    </w:pPr>
  </w:style>
  <w:style w:type="paragraph" w:customStyle="1" w:styleId="AcknowledgmentsClauseTitle">
    <w:name w:val="Acknowledgments Clause Title"/>
    <w:basedOn w:val="Normal"/>
    <w:next w:val="BodyTextIndent"/>
    <w:rsid w:val="00D964A7"/>
    <w:pPr>
      <w:keepNext/>
      <w:spacing w:before="240"/>
    </w:pPr>
    <w:rPr>
      <w:rFonts w:ascii="Arial" w:hAnsi="Arial"/>
      <w:b/>
      <w:caps/>
    </w:rPr>
  </w:style>
  <w:style w:type="paragraph" w:customStyle="1" w:styleId="Affiliation">
    <w:name w:val="Affiliation"/>
    <w:basedOn w:val="Normal"/>
    <w:rsid w:val="00D964A7"/>
    <w:pPr>
      <w:jc w:val="center"/>
    </w:pPr>
    <w:rPr>
      <w:rFonts w:ascii="Arial" w:hAnsi="Arial"/>
    </w:rPr>
  </w:style>
  <w:style w:type="paragraph" w:customStyle="1" w:styleId="Author">
    <w:name w:val="Author"/>
    <w:basedOn w:val="Normal"/>
    <w:next w:val="Affiliation"/>
    <w:rsid w:val="00D964A7"/>
    <w:pPr>
      <w:keepNext/>
      <w:jc w:val="center"/>
    </w:pPr>
    <w:rPr>
      <w:rFonts w:ascii="Arial" w:hAnsi="Arial"/>
      <w:b/>
    </w:rPr>
  </w:style>
  <w:style w:type="paragraph" w:customStyle="1" w:styleId="DocumentNumber">
    <w:name w:val="Document Number"/>
    <w:basedOn w:val="Normal"/>
    <w:next w:val="BodyTextIndent"/>
    <w:rsid w:val="00D964A7"/>
    <w:pPr>
      <w:spacing w:before="900"/>
      <w:jc w:val="right"/>
    </w:pPr>
    <w:rPr>
      <w:rFonts w:ascii="Arial" w:hAnsi="Arial"/>
      <w:b/>
      <w:sz w:val="36"/>
    </w:rPr>
  </w:style>
  <w:style w:type="paragraph" w:customStyle="1" w:styleId="EquationNumber">
    <w:name w:val="Equation Number"/>
    <w:basedOn w:val="Normal"/>
    <w:next w:val="BodyTextIndent"/>
    <w:rsid w:val="00D964A7"/>
    <w:pPr>
      <w:jc w:val="right"/>
    </w:pPr>
  </w:style>
  <w:style w:type="paragraph" w:customStyle="1" w:styleId="FigureCaption">
    <w:name w:val="Figure Caption"/>
    <w:basedOn w:val="Normal"/>
    <w:next w:val="BodyTextIndent"/>
    <w:rsid w:val="00D964A7"/>
    <w:pPr>
      <w:jc w:val="center"/>
    </w:pPr>
    <w:rPr>
      <w:rFonts w:ascii="Arial" w:hAnsi="Arial"/>
      <w:b/>
    </w:rPr>
  </w:style>
  <w:style w:type="paragraph" w:styleId="Footer">
    <w:name w:val="footer"/>
    <w:basedOn w:val="Normal"/>
    <w:next w:val="Header"/>
    <w:link w:val="FooterChar"/>
    <w:uiPriority w:val="99"/>
    <w:rsid w:val="00D964A7"/>
    <w:pPr>
      <w:tabs>
        <w:tab w:val="center" w:pos="5760"/>
        <w:tab w:val="right" w:pos="10800"/>
      </w:tabs>
    </w:pPr>
  </w:style>
  <w:style w:type="paragraph" w:styleId="Header">
    <w:name w:val="header"/>
    <w:basedOn w:val="Normal"/>
    <w:next w:val="Footer"/>
    <w:semiHidden/>
    <w:rsid w:val="00D964A7"/>
  </w:style>
  <w:style w:type="paragraph" w:styleId="FootnoteText">
    <w:name w:val="footnote text"/>
    <w:basedOn w:val="Normal"/>
    <w:semiHidden/>
    <w:rsid w:val="00D964A7"/>
    <w:pPr>
      <w:ind w:firstLine="360"/>
    </w:pPr>
    <w:rPr>
      <w:sz w:val="16"/>
    </w:rPr>
  </w:style>
  <w:style w:type="paragraph" w:customStyle="1" w:styleId="NomenclatureClauseTitle">
    <w:name w:val="Nomenclature Clause Title"/>
    <w:basedOn w:val="Normal"/>
    <w:next w:val="BodyTextIndent"/>
    <w:rsid w:val="00D964A7"/>
    <w:pPr>
      <w:keepNext/>
      <w:spacing w:before="240"/>
    </w:pPr>
    <w:rPr>
      <w:rFonts w:ascii="Arial" w:hAnsi="Arial"/>
      <w:b/>
      <w:caps/>
    </w:rPr>
  </w:style>
  <w:style w:type="paragraph" w:customStyle="1" w:styleId="ReferencesClauseTitle">
    <w:name w:val="References Clause Title"/>
    <w:basedOn w:val="Normal"/>
    <w:next w:val="BodyTextIndent"/>
    <w:rsid w:val="00D964A7"/>
    <w:pPr>
      <w:keepNext/>
      <w:spacing w:before="240"/>
    </w:pPr>
    <w:rPr>
      <w:rFonts w:ascii="Arial" w:hAnsi="Arial"/>
      <w:b/>
      <w:caps/>
    </w:rPr>
  </w:style>
  <w:style w:type="paragraph" w:customStyle="1" w:styleId="TableCaption">
    <w:name w:val="Table Caption"/>
    <w:basedOn w:val="Normal"/>
    <w:next w:val="BodyTextIndent"/>
    <w:rsid w:val="00D964A7"/>
    <w:pPr>
      <w:jc w:val="center"/>
    </w:pPr>
    <w:rPr>
      <w:rFonts w:ascii="Arial" w:hAnsi="Arial"/>
      <w:b/>
    </w:rPr>
  </w:style>
  <w:style w:type="paragraph" w:customStyle="1" w:styleId="TextHeading1">
    <w:name w:val="Text Heading 1"/>
    <w:basedOn w:val="Normal"/>
    <w:next w:val="BodyTextIndent"/>
    <w:rsid w:val="00D964A7"/>
    <w:pPr>
      <w:keepNext/>
      <w:spacing w:before="240"/>
    </w:pPr>
    <w:rPr>
      <w:rFonts w:ascii="Arial" w:hAnsi="Arial"/>
      <w:b/>
      <w:caps/>
    </w:rPr>
  </w:style>
  <w:style w:type="paragraph" w:customStyle="1" w:styleId="TextHeading2">
    <w:name w:val="Text Heading 2"/>
    <w:basedOn w:val="Normal"/>
    <w:next w:val="BodyTextIndent"/>
    <w:rsid w:val="00D964A7"/>
    <w:pPr>
      <w:keepNext/>
      <w:spacing w:before="240"/>
    </w:pPr>
    <w:rPr>
      <w:rFonts w:ascii="Arial" w:hAnsi="Arial"/>
      <w:b/>
      <w:u w:val="single"/>
    </w:rPr>
  </w:style>
  <w:style w:type="paragraph" w:customStyle="1" w:styleId="TextHeading3">
    <w:name w:val="Text Heading 3"/>
    <w:basedOn w:val="Normal"/>
    <w:next w:val="BodyTextIndent"/>
    <w:rsid w:val="00D964A7"/>
    <w:pPr>
      <w:spacing w:before="240"/>
      <w:ind w:left="360"/>
    </w:pPr>
    <w:rPr>
      <w:rFonts w:ascii="Arial" w:hAnsi="Arial"/>
      <w:b/>
      <w:u w:val="single"/>
    </w:rPr>
  </w:style>
  <w:style w:type="paragraph" w:styleId="Title">
    <w:name w:val="Title"/>
    <w:basedOn w:val="Normal"/>
    <w:qFormat/>
    <w:rsid w:val="00D964A7"/>
    <w:pPr>
      <w:spacing w:before="760"/>
      <w:jc w:val="center"/>
    </w:pPr>
    <w:rPr>
      <w:rFonts w:ascii="Arial" w:hAnsi="Arial"/>
      <w:b/>
      <w:caps/>
      <w:sz w:val="24"/>
    </w:rPr>
  </w:style>
  <w:style w:type="paragraph" w:styleId="Caption">
    <w:name w:val="caption"/>
    <w:basedOn w:val="Normal"/>
    <w:next w:val="Normal"/>
    <w:qFormat/>
    <w:rsid w:val="00D964A7"/>
    <w:pPr>
      <w:spacing w:before="120" w:after="120"/>
    </w:pPr>
    <w:rPr>
      <w:b/>
    </w:rPr>
  </w:style>
  <w:style w:type="paragraph" w:styleId="BalloonText">
    <w:name w:val="Balloon Text"/>
    <w:basedOn w:val="Normal"/>
    <w:link w:val="BalloonTextChar"/>
    <w:uiPriority w:val="99"/>
    <w:semiHidden/>
    <w:unhideWhenUsed/>
    <w:rsid w:val="00C322DD"/>
    <w:rPr>
      <w:rFonts w:ascii="Tahoma" w:hAnsi="Tahoma" w:cs="Tahoma"/>
      <w:sz w:val="16"/>
      <w:szCs w:val="16"/>
    </w:rPr>
  </w:style>
  <w:style w:type="character" w:customStyle="1" w:styleId="BalloonTextChar">
    <w:name w:val="Balloon Text Char"/>
    <w:basedOn w:val="DefaultParagraphFont"/>
    <w:link w:val="BalloonText"/>
    <w:uiPriority w:val="99"/>
    <w:semiHidden/>
    <w:rsid w:val="00C322DD"/>
    <w:rPr>
      <w:rFonts w:ascii="Tahoma" w:hAnsi="Tahoma" w:cs="Tahoma"/>
      <w:kern w:val="14"/>
      <w:sz w:val="16"/>
      <w:szCs w:val="16"/>
    </w:rPr>
  </w:style>
  <w:style w:type="character" w:styleId="CommentReference">
    <w:name w:val="annotation reference"/>
    <w:basedOn w:val="DefaultParagraphFont"/>
    <w:uiPriority w:val="99"/>
    <w:semiHidden/>
    <w:unhideWhenUsed/>
    <w:rsid w:val="00D532C6"/>
    <w:rPr>
      <w:sz w:val="16"/>
      <w:szCs w:val="16"/>
    </w:rPr>
  </w:style>
  <w:style w:type="paragraph" w:styleId="CommentText">
    <w:name w:val="annotation text"/>
    <w:basedOn w:val="Normal"/>
    <w:link w:val="CommentTextChar"/>
    <w:uiPriority w:val="99"/>
    <w:unhideWhenUsed/>
    <w:rsid w:val="00D532C6"/>
  </w:style>
  <w:style w:type="character" w:customStyle="1" w:styleId="CommentTextChar">
    <w:name w:val="Comment Text Char"/>
    <w:basedOn w:val="DefaultParagraphFont"/>
    <w:link w:val="CommentText"/>
    <w:uiPriority w:val="99"/>
    <w:rsid w:val="00D532C6"/>
    <w:rPr>
      <w:kern w:val="14"/>
    </w:rPr>
  </w:style>
  <w:style w:type="paragraph" w:styleId="CommentSubject">
    <w:name w:val="annotation subject"/>
    <w:basedOn w:val="CommentText"/>
    <w:next w:val="CommentText"/>
    <w:link w:val="CommentSubjectChar"/>
    <w:uiPriority w:val="99"/>
    <w:semiHidden/>
    <w:unhideWhenUsed/>
    <w:rsid w:val="00D532C6"/>
    <w:rPr>
      <w:b/>
      <w:bCs/>
    </w:rPr>
  </w:style>
  <w:style w:type="character" w:customStyle="1" w:styleId="CommentSubjectChar">
    <w:name w:val="Comment Subject Char"/>
    <w:basedOn w:val="CommentTextChar"/>
    <w:link w:val="CommentSubject"/>
    <w:uiPriority w:val="99"/>
    <w:semiHidden/>
    <w:rsid w:val="00D532C6"/>
    <w:rPr>
      <w:b/>
      <w:bCs/>
      <w:kern w:val="14"/>
    </w:rPr>
  </w:style>
  <w:style w:type="paragraph" w:styleId="Revision">
    <w:name w:val="Revision"/>
    <w:hidden/>
    <w:uiPriority w:val="99"/>
    <w:semiHidden/>
    <w:rsid w:val="00F212F3"/>
    <w:rPr>
      <w:kern w:val="14"/>
    </w:rPr>
  </w:style>
  <w:style w:type="character" w:customStyle="1" w:styleId="FooterChar">
    <w:name w:val="Footer Char"/>
    <w:basedOn w:val="DefaultParagraphFont"/>
    <w:link w:val="Footer"/>
    <w:uiPriority w:val="99"/>
    <w:rsid w:val="00136502"/>
    <w:rPr>
      <w:kern w:val="14"/>
    </w:rPr>
  </w:style>
  <w:style w:type="paragraph" w:styleId="ListParagraph">
    <w:name w:val="List Paragraph"/>
    <w:basedOn w:val="Normal"/>
    <w:uiPriority w:val="34"/>
    <w:qFormat/>
    <w:rsid w:val="00F83A93"/>
    <w:pPr>
      <w:suppressAutoHyphens w:val="0"/>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customStyle="1" w:styleId="Heading1Char">
    <w:name w:val="Heading 1 Char"/>
    <w:basedOn w:val="DefaultParagraphFont"/>
    <w:link w:val="Heading1"/>
    <w:rsid w:val="00A027ED"/>
    <w:rPr>
      <w:i/>
      <w:iCs/>
      <w:kern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1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14C98925BF85344080E7DD80A13A1C82" ma:contentTypeVersion="16" ma:contentTypeDescription="새 문서를 만듭니다." ma:contentTypeScope="" ma:versionID="c5da32ffbb99c4243afbd5b38aee955f">
  <xsd:schema xmlns:xsd="http://www.w3.org/2001/XMLSchema" xmlns:xs="http://www.w3.org/2001/XMLSchema" xmlns:p="http://schemas.microsoft.com/office/2006/metadata/properties" xmlns:ns2="cfd664a4-0d16-41cc-93e1-02e5e4175d64" xmlns:ns3="81f186f9-12fc-49c4-b34b-83e22dad0ebe" targetNamespace="http://schemas.microsoft.com/office/2006/metadata/properties" ma:root="true" ma:fieldsID="8685ac0444cac5e99ad72570dbc781fe" ns2:_="" ns3:_="">
    <xsd:import namespace="cfd664a4-0d16-41cc-93e1-02e5e4175d64"/>
    <xsd:import namespace="81f186f9-12fc-49c4-b34b-83e22dad0e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664a4-0d16-41cc-93e1-02e5e4175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이미지 태그" ma:readOnly="false" ma:fieldId="{5cf76f15-5ced-4ddc-b409-7134ff3c332f}" ma:taxonomyMulti="true" ma:sspId="3f7807d1-82c6-4e7e-ad3b-0b540edf00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f186f9-12fc-49c4-b34b-83e22dad0eb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d674065-6215-43bd-8a85-8245d8ca2b72}" ma:internalName="TaxCatchAll" ma:showField="CatchAllData" ma:web="81f186f9-12fc-49c4-b34b-83e22dad0eb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f186f9-12fc-49c4-b34b-83e22dad0ebe" xsi:nil="true"/>
    <lcf76f155ced4ddcb4097134ff3c332f xmlns="cfd664a4-0d16-41cc-93e1-02e5e4175d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B6017-6F2D-4E72-A0F5-C0C9A2431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664a4-0d16-41cc-93e1-02e5e4175d64"/>
    <ds:schemaRef ds:uri="81f186f9-12fc-49c4-b34b-83e22dad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071EF-FB57-4F86-AA94-86CB751E8246}">
  <ds:schemaRefs>
    <ds:schemaRef ds:uri="http://schemas.microsoft.com/office/2006/metadata/properties"/>
    <ds:schemaRef ds:uri="http://schemas.microsoft.com/office/infopath/2007/PartnerControls"/>
    <ds:schemaRef ds:uri="81f186f9-12fc-49c4-b34b-83e22dad0ebe"/>
    <ds:schemaRef ds:uri="cfd664a4-0d16-41cc-93e1-02e5e4175d64"/>
  </ds:schemaRefs>
</ds:datastoreItem>
</file>

<file path=customXml/itemProps3.xml><?xml version="1.0" encoding="utf-8"?>
<ds:datastoreItem xmlns:ds="http://schemas.openxmlformats.org/officeDocument/2006/customXml" ds:itemID="{CDCA3108-526D-46CF-BA32-4A4896B40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1161</Words>
  <Characters>6619</Characters>
  <Application>Microsoft Office Word</Application>
  <DocSecurity>0</DocSecurity>
  <Lines>55</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Put Paper Title Here</vt:lpstr>
      <vt:lpstr>Put Paper Title Here</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creator>INSPI</dc:creator>
  <cp:lastModifiedBy>Muzahir Ali</cp:lastModifiedBy>
  <cp:revision>162</cp:revision>
  <cp:lastPrinted>2025-10-21T06:57:00Z</cp:lastPrinted>
  <dcterms:created xsi:type="dcterms:W3CDTF">2025-10-21T03:43:00Z</dcterms:created>
  <dcterms:modified xsi:type="dcterms:W3CDTF">2025-10-21T07:06:00Z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0x01010014C98925BF85344080E7DD80A13A1C82</vt:lpwstr>
  </property>
  <property fmtid="{D5CDD505-2E9C-101B-9397-08002B2CF9AE}" pid="3" name="GrammarlyDocumentId">
    <vt:lpwstr>293c9d7a-5bec-46ef-9043-c971795f62c4</vt:lpwstr>
  </property>
</Properties>
</file>