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5116" w14:textId="77777777" w:rsidR="00DE2928" w:rsidRPr="00A03C8F" w:rsidRDefault="00DE2928" w:rsidP="00A03C8F">
      <w:pPr>
        <w:suppressAutoHyphens w:val="0"/>
        <w:spacing w:before="120"/>
        <w:contextualSpacing/>
        <w:jc w:val="center"/>
        <w:rPr>
          <w:rFonts w:eastAsia="Times New Roman"/>
          <w:b/>
          <w:spacing w:val="-10"/>
          <w:kern w:val="28"/>
          <w:sz w:val="32"/>
          <w:szCs w:val="56"/>
          <w:lang w:val="en-GB"/>
        </w:rPr>
      </w:pPr>
    </w:p>
    <w:p w14:paraId="44DBED20" w14:textId="1A868E30" w:rsidR="00691B58" w:rsidRPr="00691B58" w:rsidRDefault="00691B58" w:rsidP="00691B58">
      <w:pPr>
        <w:suppressAutoHyphens w:val="0"/>
        <w:spacing w:before="120"/>
        <w:contextualSpacing/>
        <w:jc w:val="center"/>
        <w:rPr>
          <w:rFonts w:eastAsia="Times New Roman"/>
          <w:b/>
          <w:spacing w:val="-10"/>
          <w:kern w:val="28"/>
          <w:sz w:val="32"/>
          <w:szCs w:val="56"/>
        </w:rPr>
      </w:pPr>
      <w:r w:rsidRPr="00691B58">
        <w:rPr>
          <w:rFonts w:eastAsia="Times New Roman"/>
          <w:b/>
          <w:spacing w:val="-10"/>
          <w:kern w:val="28"/>
          <w:sz w:val="32"/>
          <w:szCs w:val="56"/>
        </w:rPr>
        <w:t>An Economic Evaluation</w:t>
      </w:r>
      <w:r>
        <w:rPr>
          <w:rFonts w:eastAsia="Times New Roman"/>
          <w:b/>
          <w:spacing w:val="-10"/>
          <w:kern w:val="28"/>
          <w:sz w:val="32"/>
          <w:szCs w:val="56"/>
        </w:rPr>
        <w:t xml:space="preserve"> of </w:t>
      </w:r>
      <w:r w:rsidRPr="00691B58">
        <w:rPr>
          <w:rFonts w:eastAsia="Times New Roman"/>
          <w:b/>
          <w:spacing w:val="-10"/>
          <w:kern w:val="28"/>
          <w:sz w:val="32"/>
          <w:szCs w:val="56"/>
        </w:rPr>
        <w:t xml:space="preserve">Hydrogen Production </w:t>
      </w:r>
      <w:r w:rsidR="00D207B0">
        <w:rPr>
          <w:rFonts w:eastAsia="Times New Roman"/>
          <w:b/>
          <w:spacing w:val="-10"/>
          <w:kern w:val="28"/>
          <w:sz w:val="32"/>
          <w:szCs w:val="56"/>
        </w:rPr>
        <w:t>f</w:t>
      </w:r>
      <w:r w:rsidRPr="00691B58">
        <w:rPr>
          <w:rFonts w:eastAsia="Times New Roman"/>
          <w:b/>
          <w:spacing w:val="-10"/>
          <w:kern w:val="28"/>
          <w:sz w:val="32"/>
          <w:szCs w:val="56"/>
        </w:rPr>
        <w:t>rom Small Modular Molten Salt Reactor</w:t>
      </w:r>
      <w:r>
        <w:rPr>
          <w:rFonts w:eastAsia="Times New Roman"/>
          <w:b/>
          <w:spacing w:val="-10"/>
          <w:kern w:val="28"/>
          <w:sz w:val="32"/>
          <w:szCs w:val="56"/>
        </w:rPr>
        <w:t xml:space="preserve"> by </w:t>
      </w:r>
      <w:r w:rsidRPr="00691B58">
        <w:rPr>
          <w:rFonts w:eastAsia="Times New Roman"/>
          <w:b/>
          <w:spacing w:val="-10"/>
          <w:kern w:val="28"/>
          <w:sz w:val="32"/>
          <w:szCs w:val="56"/>
        </w:rPr>
        <w:t>Using HEEP</w:t>
      </w:r>
      <w:r w:rsidR="00D207B0">
        <w:rPr>
          <w:rFonts w:eastAsia="Times New Roman"/>
          <w:b/>
          <w:spacing w:val="-10"/>
          <w:kern w:val="28"/>
          <w:sz w:val="32"/>
          <w:szCs w:val="56"/>
        </w:rPr>
        <w:t xml:space="preserve"> </w:t>
      </w:r>
    </w:p>
    <w:p w14:paraId="197CB27B" w14:textId="4424BD0A" w:rsidR="00A03C8F" w:rsidRPr="00A03C8F" w:rsidRDefault="00A03C8F" w:rsidP="00A03C8F">
      <w:pPr>
        <w:suppressAutoHyphens w:val="0"/>
        <w:spacing w:before="120"/>
        <w:contextualSpacing/>
        <w:jc w:val="center"/>
        <w:rPr>
          <w:rFonts w:eastAsia="Times New Roman"/>
          <w:b/>
          <w:spacing w:val="-10"/>
          <w:kern w:val="28"/>
          <w:sz w:val="32"/>
          <w:szCs w:val="56"/>
          <w:lang w:val="en-GB"/>
        </w:rPr>
      </w:pPr>
    </w:p>
    <w:p w14:paraId="5B6C62CE" w14:textId="77777777" w:rsidR="00781B6A" w:rsidRDefault="00781B6A">
      <w:pPr>
        <w:pStyle w:val="Affiliation"/>
        <w:jc w:val="both"/>
        <w:rPr>
          <w:rFonts w:ascii="Times New Roman" w:hAnsi="Times New Roman"/>
        </w:rPr>
      </w:pPr>
      <w:bookmarkStart w:id="0" w:name="PutAuthorsHere"/>
    </w:p>
    <w:p w14:paraId="68174F00" w14:textId="77777777" w:rsidR="00781B6A" w:rsidRDefault="00781B6A">
      <w:pPr>
        <w:pStyle w:val="Affiliation"/>
        <w:jc w:val="both"/>
        <w:rPr>
          <w:rFonts w:ascii="Times New Roman" w:hAnsi="Times New Roman"/>
        </w:rPr>
      </w:pPr>
    </w:p>
    <w:p w14:paraId="613EAEDB" w14:textId="0308FB0C" w:rsidR="00781B6A" w:rsidRDefault="00691B58">
      <w:pPr>
        <w:pStyle w:val="Affiliation"/>
        <w:rPr>
          <w:rFonts w:ascii="Times New Roman" w:hAnsi="Times New Roman"/>
        </w:rPr>
      </w:pPr>
      <w:r>
        <w:rPr>
          <w:rFonts w:ascii="Times New Roman" w:hAnsi="Times New Roman"/>
        </w:rPr>
        <w:t>Mahmut Cüneyt Kahraman</w:t>
      </w:r>
    </w:p>
    <w:p w14:paraId="321E4EC5" w14:textId="77777777" w:rsidR="00691B58" w:rsidRDefault="00691B58" w:rsidP="00691B58">
      <w:pPr>
        <w:pStyle w:val="Heading1"/>
      </w:pPr>
      <w:r w:rsidRPr="00691B58">
        <w:rPr>
          <w:rFonts w:eastAsia="Times New Roman"/>
          <w:b/>
          <w:caps/>
          <w:kern w:val="0"/>
          <w:sz w:val="24"/>
          <w:szCs w:val="24"/>
        </w:rPr>
        <w:t xml:space="preserve"> </w:t>
      </w:r>
      <w:r w:rsidRPr="00691B58">
        <w:t>Yalova University, Faculty of Engineering, Department of Energy Systems</w:t>
      </w:r>
    </w:p>
    <w:p w14:paraId="20DB2291" w14:textId="2CF79BBC" w:rsidR="00691B58" w:rsidRPr="00691B58" w:rsidRDefault="00691B58" w:rsidP="00691B58">
      <w:pPr>
        <w:pStyle w:val="Heading1"/>
      </w:pPr>
      <w:r w:rsidRPr="00691B58">
        <w:t>Yalova, Türkiye</w:t>
      </w:r>
    </w:p>
    <w:p w14:paraId="1CF92FDC" w14:textId="09550A2B" w:rsidR="00781B6A" w:rsidRDefault="00691B58">
      <w:pPr>
        <w:jc w:val="center"/>
        <w:rPr>
          <w:i/>
          <w:iCs/>
        </w:rPr>
      </w:pPr>
      <w:r>
        <w:rPr>
          <w:i/>
          <w:iCs/>
        </w:rPr>
        <w:t>Mcuneyt.kahraman@yalova.edu.tr</w:t>
      </w:r>
    </w:p>
    <w:p w14:paraId="19D4BF22" w14:textId="3BF42B94" w:rsidR="00781B6A" w:rsidRDefault="00781B6A" w:rsidP="00CC6C37">
      <w:pPr>
        <w:pStyle w:val="Affiliation"/>
        <w:jc w:val="both"/>
      </w:pPr>
    </w:p>
    <w:p w14:paraId="11B547DB" w14:textId="77777777" w:rsidR="00781B6A" w:rsidRDefault="00781B6A">
      <w:pPr>
        <w:pStyle w:val="Affiliation"/>
      </w:pPr>
    </w:p>
    <w:bookmarkEnd w:id="0"/>
    <w:p w14:paraId="7292617D" w14:textId="77777777" w:rsidR="00781B6A" w:rsidRPr="00BB7497" w:rsidRDefault="00781B6A">
      <w:pPr>
        <w:pStyle w:val="Header"/>
        <w:rPr>
          <w:sz w:val="22"/>
          <w:szCs w:val="22"/>
        </w:rPr>
        <w:sectPr w:rsidR="00781B6A" w:rsidRPr="00BB749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080" w:header="432" w:footer="720" w:gutter="0"/>
          <w:cols w:space="720"/>
        </w:sectPr>
      </w:pPr>
    </w:p>
    <w:p w14:paraId="74B2FCCE" w14:textId="7E3F3D05"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 </w:t>
      </w:r>
      <w:r w:rsidR="00E93F48" w:rsidRPr="00BB7497">
        <w:rPr>
          <w:rFonts w:ascii="Times New Roman" w:hAnsi="Times New Roman"/>
          <w:caps w:val="0"/>
          <w:sz w:val="22"/>
          <w:szCs w:val="22"/>
        </w:rPr>
        <w:t>Introduction</w:t>
      </w:r>
    </w:p>
    <w:p w14:paraId="1199698B" w14:textId="77777777" w:rsidR="00781B6A" w:rsidRPr="00BB7497" w:rsidRDefault="00781B6A">
      <w:pPr>
        <w:pStyle w:val="BodyTextIndent"/>
        <w:rPr>
          <w:sz w:val="22"/>
          <w:szCs w:val="22"/>
        </w:rPr>
      </w:pPr>
    </w:p>
    <w:p w14:paraId="2713DEF0" w14:textId="7EB2D949" w:rsidR="00691B58" w:rsidRPr="00691B58" w:rsidRDefault="00691B58" w:rsidP="00691B58">
      <w:pPr>
        <w:pStyle w:val="BodyTextIndent"/>
        <w:rPr>
          <w:sz w:val="22"/>
          <w:szCs w:val="22"/>
        </w:rPr>
      </w:pPr>
      <w:r w:rsidRPr="00691B58">
        <w:rPr>
          <w:sz w:val="22"/>
          <w:szCs w:val="22"/>
        </w:rPr>
        <w:t>The global transition toward sustainable energy necessitates the adoption of clean energy carriers, with hydrogen</w:t>
      </w:r>
      <w:r>
        <w:rPr>
          <w:sz w:val="22"/>
          <w:szCs w:val="22"/>
        </w:rPr>
        <w:t xml:space="preserve"> </w:t>
      </w:r>
      <w:r w:rsidRPr="00691B58">
        <w:rPr>
          <w:sz w:val="22"/>
          <w:szCs w:val="22"/>
        </w:rPr>
        <w:t>being a pivotal solution due to its high energy density and zero-emission end-use</w:t>
      </w:r>
      <w:r w:rsidR="00AA6857">
        <w:rPr>
          <w:sz w:val="22"/>
          <w:szCs w:val="22"/>
        </w:rPr>
        <w:t xml:space="preserve"> [1].</w:t>
      </w:r>
      <w:r w:rsidRPr="00691B58">
        <w:rPr>
          <w:sz w:val="22"/>
          <w:szCs w:val="22"/>
        </w:rPr>
        <w:t xml:space="preserve"> Producing "Pink Hydrogen" from h</w:t>
      </w:r>
      <w:r>
        <w:rPr>
          <w:sz w:val="22"/>
          <w:szCs w:val="22"/>
        </w:rPr>
        <w:t>igh temperature</w:t>
      </w:r>
      <w:r w:rsidRPr="00691B58">
        <w:rPr>
          <w:sz w:val="22"/>
          <w:szCs w:val="22"/>
        </w:rPr>
        <w:t xml:space="preserve"> nuclear power plants (NPPs) offers a reliable, low-carbon pathway compared </w:t>
      </w:r>
      <w:r>
        <w:rPr>
          <w:sz w:val="22"/>
          <w:szCs w:val="22"/>
        </w:rPr>
        <w:t>to fossil resources</w:t>
      </w:r>
      <w:r w:rsidRPr="00691B58">
        <w:rPr>
          <w:sz w:val="22"/>
          <w:szCs w:val="22"/>
        </w:rPr>
        <w:t>. This study focuses on leveraging the high-temperature thermal output of a Small Modular Molten Salt Reactor (</w:t>
      </w:r>
      <w:r>
        <w:rPr>
          <w:sz w:val="22"/>
          <w:szCs w:val="22"/>
        </w:rPr>
        <w:t>SM-</w:t>
      </w:r>
      <w:r w:rsidRPr="00691B58">
        <w:rPr>
          <w:sz w:val="22"/>
          <w:szCs w:val="22"/>
        </w:rPr>
        <w:t xml:space="preserve">MSR) for </w:t>
      </w:r>
      <w:r>
        <w:rPr>
          <w:sz w:val="22"/>
          <w:szCs w:val="22"/>
        </w:rPr>
        <w:t>hydrogen</w:t>
      </w:r>
      <w:r w:rsidRPr="00691B58">
        <w:rPr>
          <w:sz w:val="22"/>
          <w:szCs w:val="22"/>
        </w:rPr>
        <w:t xml:space="preserve"> generation via the Copper-Chlorine (Cu-Cl) thermochemical cycle. The MSR, selected for its inherent safety, high operating temperature (up to 7</w:t>
      </w:r>
      <w:r w:rsidR="00CD10E2">
        <w:rPr>
          <w:sz w:val="22"/>
          <w:szCs w:val="22"/>
        </w:rPr>
        <w:t>00 C°</w:t>
      </w:r>
      <w:r w:rsidRPr="00691B58">
        <w:rPr>
          <w:sz w:val="22"/>
          <w:szCs w:val="22"/>
        </w:rPr>
        <w:t>), and advanced fuel cycle (Thorium-Uranium), is ideally suited for this high-efficiency thermal process</w:t>
      </w:r>
      <w:r w:rsidR="00AA6857">
        <w:rPr>
          <w:sz w:val="22"/>
          <w:szCs w:val="22"/>
        </w:rPr>
        <w:t xml:space="preserve"> [2</w:t>
      </w:r>
      <w:r w:rsidR="0094307E">
        <w:rPr>
          <w:sz w:val="22"/>
          <w:szCs w:val="22"/>
        </w:rPr>
        <w:t>-3</w:t>
      </w:r>
      <w:r w:rsidR="00AA6857">
        <w:rPr>
          <w:sz w:val="22"/>
          <w:szCs w:val="22"/>
        </w:rPr>
        <w:t>]</w:t>
      </w:r>
      <w:r w:rsidRPr="00691B58">
        <w:rPr>
          <w:sz w:val="22"/>
          <w:szCs w:val="22"/>
        </w:rPr>
        <w:t xml:space="preserve">. The primary aim of this research is to perform a robust economic evaluation of this integrated system—combining the MSR, the </w:t>
      </w:r>
      <w:r>
        <w:rPr>
          <w:sz w:val="22"/>
          <w:szCs w:val="22"/>
        </w:rPr>
        <w:t>hydrogen</w:t>
      </w:r>
      <w:r w:rsidRPr="00691B58">
        <w:rPr>
          <w:sz w:val="22"/>
          <w:szCs w:val="22"/>
        </w:rPr>
        <w:t xml:space="preserve"> plant, and subsequent storage—using the International Atomic Energy Agency’s (IAEA) Hydrogen Economic Evaluation Program (HEEP) code. A miniature model representing the </w:t>
      </w:r>
      <w:proofErr w:type="spellStart"/>
      <w:r w:rsidRPr="00691B58">
        <w:rPr>
          <w:sz w:val="22"/>
          <w:szCs w:val="22"/>
        </w:rPr>
        <w:t>Dilovası</w:t>
      </w:r>
      <w:proofErr w:type="spellEnd"/>
      <w:r w:rsidRPr="00691B58">
        <w:rPr>
          <w:sz w:val="22"/>
          <w:szCs w:val="22"/>
        </w:rPr>
        <w:t xml:space="preserve"> Organized Industrial Zone</w:t>
      </w:r>
      <w:r w:rsidR="00CD10E2">
        <w:rPr>
          <w:sz w:val="22"/>
          <w:szCs w:val="22"/>
        </w:rPr>
        <w:t>, Türkiye</w:t>
      </w:r>
      <w:r w:rsidRPr="00691B58">
        <w:rPr>
          <w:sz w:val="22"/>
          <w:szCs w:val="22"/>
        </w:rPr>
        <w:t xml:space="preserve"> is used to analyze the co-generation of electricity and hydrogen under varying demand scenarios (100%, 50</w:t>
      </w:r>
      <w:r w:rsidR="00CD10E2">
        <w:rPr>
          <w:sz w:val="22"/>
          <w:szCs w:val="22"/>
        </w:rPr>
        <w:t>%</w:t>
      </w:r>
      <w:r w:rsidRPr="00691B58">
        <w:rPr>
          <w:sz w:val="22"/>
          <w:szCs w:val="22"/>
        </w:rPr>
        <w:t>, and 10</w:t>
      </w:r>
      <w:r w:rsidR="00CD10E2">
        <w:rPr>
          <w:sz w:val="22"/>
          <w:szCs w:val="22"/>
        </w:rPr>
        <w:t>%</w:t>
      </w:r>
      <w:r w:rsidRPr="00691B58">
        <w:rPr>
          <w:sz w:val="22"/>
          <w:szCs w:val="22"/>
        </w:rPr>
        <w:t xml:space="preserve"> </w:t>
      </w:r>
      <w:r>
        <w:rPr>
          <w:sz w:val="22"/>
          <w:szCs w:val="22"/>
        </w:rPr>
        <w:t>hydrogen</w:t>
      </w:r>
      <w:r w:rsidRPr="00691B58">
        <w:rPr>
          <w:sz w:val="22"/>
          <w:szCs w:val="22"/>
        </w:rPr>
        <w:t xml:space="preserve"> production).</w:t>
      </w:r>
    </w:p>
    <w:p w14:paraId="4572B2F7" w14:textId="405C5CE0" w:rsidR="00781B6A" w:rsidRPr="003B1751" w:rsidRDefault="00781B6A" w:rsidP="00BB7497">
      <w:pPr>
        <w:pStyle w:val="BodyTextIndent"/>
        <w:rPr>
          <w:sz w:val="22"/>
          <w:szCs w:val="22"/>
        </w:rPr>
      </w:pPr>
    </w:p>
    <w:p w14:paraId="5C4893C8" w14:textId="77777777" w:rsidR="00781B6A" w:rsidRPr="00BB7497" w:rsidRDefault="00781B6A">
      <w:pPr>
        <w:pStyle w:val="BodyTextIndent"/>
        <w:rPr>
          <w:sz w:val="22"/>
          <w:szCs w:val="22"/>
        </w:rPr>
      </w:pPr>
    </w:p>
    <w:p w14:paraId="675A48A1" w14:textId="5A89E91D" w:rsidR="00781B6A" w:rsidRPr="00BB7497" w:rsidRDefault="00781B6A" w:rsidP="00E93F48">
      <w:pPr>
        <w:pStyle w:val="AbstractClauseTitle"/>
        <w:jc w:val="left"/>
        <w:rPr>
          <w:rFonts w:ascii="Times New Roman" w:hAnsi="Times New Roman"/>
          <w:sz w:val="22"/>
          <w:szCs w:val="22"/>
        </w:rPr>
      </w:pPr>
      <w:r w:rsidRPr="00BB7497">
        <w:rPr>
          <w:rFonts w:ascii="Times New Roman" w:hAnsi="Times New Roman"/>
          <w:sz w:val="22"/>
          <w:szCs w:val="22"/>
        </w:rPr>
        <w:t xml:space="preserve">II. </w:t>
      </w:r>
      <w:r w:rsidR="00CD10E2">
        <w:rPr>
          <w:rFonts w:ascii="Times New Roman" w:hAnsi="Times New Roman"/>
          <w:caps w:val="0"/>
          <w:sz w:val="22"/>
          <w:szCs w:val="22"/>
        </w:rPr>
        <w:t xml:space="preserve"> </w:t>
      </w:r>
      <w:r w:rsidR="00CD10E2" w:rsidRPr="00CD10E2">
        <w:rPr>
          <w:rFonts w:ascii="Times New Roman" w:hAnsi="Times New Roman"/>
          <w:caps w:val="0"/>
          <w:sz w:val="22"/>
          <w:szCs w:val="22"/>
        </w:rPr>
        <w:t>HEEP Code and Methodology</w:t>
      </w:r>
    </w:p>
    <w:p w14:paraId="0DA134B0" w14:textId="77777777" w:rsidR="00781B6A" w:rsidRPr="00BB7497" w:rsidRDefault="00781B6A">
      <w:pPr>
        <w:pStyle w:val="BodyTextIndent"/>
        <w:rPr>
          <w:sz w:val="22"/>
          <w:szCs w:val="22"/>
        </w:rPr>
      </w:pPr>
    </w:p>
    <w:p w14:paraId="7B7DF61A" w14:textId="769AB6A4" w:rsidR="00F47AC2" w:rsidRPr="00F47AC2" w:rsidRDefault="00F47AC2" w:rsidP="00F47AC2">
      <w:pPr>
        <w:pStyle w:val="BodyTextIndent"/>
        <w:rPr>
          <w:sz w:val="22"/>
          <w:szCs w:val="22"/>
        </w:rPr>
      </w:pPr>
      <w:r w:rsidRPr="00F47AC2">
        <w:rPr>
          <w:sz w:val="22"/>
          <w:szCs w:val="22"/>
        </w:rPr>
        <w:t>The feasibility study uses the HEEP code to conduct techno-economic modeling of the integrated nuclear-hydrogen system. The core of the system is a 100</w:t>
      </w:r>
      <w:r>
        <w:rPr>
          <w:sz w:val="22"/>
          <w:szCs w:val="22"/>
        </w:rPr>
        <w:t xml:space="preserve"> </w:t>
      </w:r>
      <w:proofErr w:type="spellStart"/>
      <w:r w:rsidRPr="00F47AC2">
        <w:rPr>
          <w:sz w:val="22"/>
          <w:szCs w:val="22"/>
        </w:rPr>
        <w:t>M</w:t>
      </w:r>
      <w:r>
        <w:rPr>
          <w:sz w:val="22"/>
          <w:szCs w:val="22"/>
        </w:rPr>
        <w:t>W</w:t>
      </w:r>
      <w:r w:rsidRPr="00F47AC2">
        <w:rPr>
          <w:sz w:val="22"/>
          <w:szCs w:val="22"/>
          <w:vertAlign w:val="subscript"/>
        </w:rPr>
        <w:t>th</w:t>
      </w:r>
      <w:proofErr w:type="spellEnd"/>
      <w:r w:rsidRPr="00F47AC2">
        <w:rPr>
          <w:sz w:val="22"/>
          <w:szCs w:val="22"/>
        </w:rPr>
        <w:t xml:space="preserve"> MSR unit, specifically a </w:t>
      </w:r>
      <w:r>
        <w:rPr>
          <w:sz w:val="22"/>
          <w:szCs w:val="22"/>
        </w:rPr>
        <w:t>f</w:t>
      </w:r>
      <w:r w:rsidRPr="00F47AC2">
        <w:rPr>
          <w:sz w:val="22"/>
          <w:szCs w:val="22"/>
        </w:rPr>
        <w:t xml:space="preserve">ast spectrum, </w:t>
      </w:r>
      <w:r>
        <w:rPr>
          <w:sz w:val="22"/>
          <w:szCs w:val="22"/>
        </w:rPr>
        <w:t>l</w:t>
      </w:r>
      <w:r w:rsidRPr="00F47AC2">
        <w:rPr>
          <w:sz w:val="22"/>
          <w:szCs w:val="22"/>
        </w:rPr>
        <w:t xml:space="preserve">iquid fuel, </w:t>
      </w:r>
      <w:r>
        <w:rPr>
          <w:sz w:val="22"/>
          <w:szCs w:val="22"/>
        </w:rPr>
        <w:t>b</w:t>
      </w:r>
      <w:r w:rsidRPr="00F47AC2">
        <w:rPr>
          <w:sz w:val="22"/>
          <w:szCs w:val="22"/>
        </w:rPr>
        <w:t xml:space="preserve">reeder reactor utilizing fluoride salts. This choice is based on its thermal characteristics being </w:t>
      </w:r>
      <w:r w:rsidRPr="00F47AC2">
        <w:rPr>
          <w:sz w:val="22"/>
          <w:szCs w:val="22"/>
        </w:rPr>
        <w:t>highly compatible with the Cu-Cl thermochemical cycle, which operates optimally at lower temperatures 450-530</w:t>
      </w:r>
      <w:r>
        <w:rPr>
          <w:sz w:val="22"/>
          <w:szCs w:val="22"/>
        </w:rPr>
        <w:t xml:space="preserve"> </w:t>
      </w:r>
      <w:r w:rsidRPr="00F47AC2">
        <w:rPr>
          <w:sz w:val="22"/>
          <w:szCs w:val="22"/>
        </w:rPr>
        <w:t>C</w:t>
      </w:r>
      <w:r>
        <w:rPr>
          <w:sz w:val="22"/>
          <w:szCs w:val="22"/>
        </w:rPr>
        <w:t>°</w:t>
      </w:r>
      <w:r w:rsidRPr="00F47AC2">
        <w:rPr>
          <w:sz w:val="22"/>
          <w:szCs w:val="22"/>
        </w:rPr>
        <w:t xml:space="preserve"> compared to the Sulfur-Iodine cycle (</w:t>
      </w:r>
      <w:r w:rsidR="009B55BE" w:rsidRPr="00A17E6C">
        <w:rPr>
          <w:sz w:val="22"/>
          <w:szCs w:val="22"/>
        </w:rPr>
        <w:t>~</w:t>
      </w:r>
      <w:r w:rsidRPr="00F47AC2">
        <w:rPr>
          <w:sz w:val="22"/>
          <w:szCs w:val="22"/>
        </w:rPr>
        <w:t>850</w:t>
      </w:r>
      <w:r>
        <w:rPr>
          <w:sz w:val="22"/>
          <w:szCs w:val="22"/>
        </w:rPr>
        <w:t xml:space="preserve"> </w:t>
      </w:r>
      <w:r w:rsidRPr="00F47AC2">
        <w:rPr>
          <w:sz w:val="22"/>
          <w:szCs w:val="22"/>
        </w:rPr>
        <w:t>C</w:t>
      </w:r>
      <w:r>
        <w:rPr>
          <w:sz w:val="22"/>
          <w:szCs w:val="22"/>
        </w:rPr>
        <w:t>°</w:t>
      </w:r>
      <w:r w:rsidR="009B55BE">
        <w:rPr>
          <w:sz w:val="22"/>
          <w:szCs w:val="22"/>
        </w:rPr>
        <w:t>)</w:t>
      </w:r>
      <w:r w:rsidR="00AA6857">
        <w:rPr>
          <w:sz w:val="22"/>
          <w:szCs w:val="22"/>
        </w:rPr>
        <w:t xml:space="preserve"> [</w:t>
      </w:r>
      <w:r w:rsidR="0094307E">
        <w:rPr>
          <w:sz w:val="22"/>
          <w:szCs w:val="22"/>
        </w:rPr>
        <w:t>4]</w:t>
      </w:r>
      <w:r w:rsidR="009B55BE">
        <w:rPr>
          <w:sz w:val="22"/>
          <w:szCs w:val="22"/>
        </w:rPr>
        <w:t xml:space="preserve"> </w:t>
      </w:r>
      <w:r w:rsidRPr="00F47AC2">
        <w:rPr>
          <w:sz w:val="22"/>
          <w:szCs w:val="22"/>
        </w:rPr>
        <w:t xml:space="preserve">The HEEP simulation incorporates detailed financial parameters and calculates the total </w:t>
      </w:r>
      <w:r>
        <w:rPr>
          <w:sz w:val="22"/>
          <w:szCs w:val="22"/>
        </w:rPr>
        <w:t>hydrogen</w:t>
      </w:r>
      <w:r w:rsidRPr="00F47AC2">
        <w:rPr>
          <w:sz w:val="22"/>
          <w:szCs w:val="22"/>
        </w:rPr>
        <w:t xml:space="preserve"> production cost (US</w:t>
      </w:r>
      <w:r w:rsidR="00A17E6C">
        <w:rPr>
          <w:sz w:val="22"/>
          <w:szCs w:val="22"/>
        </w:rPr>
        <w:t>D/</w:t>
      </w:r>
      <w:r w:rsidRPr="00F47AC2">
        <w:rPr>
          <w:sz w:val="22"/>
          <w:szCs w:val="22"/>
        </w:rPr>
        <w:t xml:space="preserve">kg) based on four main cost categories: Nuclear Power, </w:t>
      </w:r>
      <w:r w:rsidR="00A17E6C">
        <w:rPr>
          <w:sz w:val="22"/>
          <w:szCs w:val="22"/>
        </w:rPr>
        <w:t xml:space="preserve">Hydrogen </w:t>
      </w:r>
      <w:r w:rsidRPr="00F47AC2">
        <w:rPr>
          <w:sz w:val="22"/>
          <w:szCs w:val="22"/>
        </w:rPr>
        <w:t xml:space="preserve">Generation, </w:t>
      </w:r>
      <w:r w:rsidR="00A17E6C">
        <w:rPr>
          <w:sz w:val="22"/>
          <w:szCs w:val="22"/>
        </w:rPr>
        <w:t xml:space="preserve">Hydrogen </w:t>
      </w:r>
      <w:r w:rsidRPr="00F47AC2">
        <w:rPr>
          <w:sz w:val="22"/>
          <w:szCs w:val="22"/>
        </w:rPr>
        <w:t>Transportation, and Storage.</w:t>
      </w:r>
    </w:p>
    <w:p w14:paraId="7C6F0280" w14:textId="5AF2F517" w:rsidR="00781B6A" w:rsidRPr="003903CD" w:rsidRDefault="00A17E6C" w:rsidP="00AA6857">
      <w:pPr>
        <w:pStyle w:val="BodyTextIndent"/>
        <w:rPr>
          <w:sz w:val="22"/>
          <w:szCs w:val="22"/>
        </w:rPr>
      </w:pPr>
      <w:r w:rsidRPr="00A17E6C">
        <w:rPr>
          <w:sz w:val="22"/>
          <w:szCs w:val="22"/>
        </w:rPr>
        <w:t xml:space="preserve">Three co-generation scenarios were modeled: 100% </w:t>
      </w:r>
      <w:r w:rsidR="009B55BE">
        <w:rPr>
          <w:sz w:val="22"/>
          <w:szCs w:val="22"/>
        </w:rPr>
        <w:t xml:space="preserve">Hydrogen </w:t>
      </w:r>
      <w:r w:rsidRPr="00A17E6C">
        <w:rPr>
          <w:sz w:val="22"/>
          <w:szCs w:val="22"/>
        </w:rPr>
        <w:t>Production (1</w:t>
      </w:r>
      <w:r w:rsidR="009B55BE">
        <w:rPr>
          <w:sz w:val="22"/>
          <w:szCs w:val="22"/>
        </w:rPr>
        <w:t>00</w:t>
      </w:r>
      <w:r w:rsidRPr="00A17E6C">
        <w:rPr>
          <w:sz w:val="22"/>
          <w:szCs w:val="22"/>
        </w:rPr>
        <w:t>MW</w:t>
      </w:r>
      <w:r w:rsidR="009B55BE">
        <w:rPr>
          <w:sz w:val="22"/>
          <w:szCs w:val="22"/>
          <w:vertAlign w:val="subscript"/>
        </w:rPr>
        <w:t>th</w:t>
      </w:r>
      <w:r w:rsidRPr="00A17E6C">
        <w:rPr>
          <w:sz w:val="22"/>
          <w:szCs w:val="22"/>
        </w:rPr>
        <w:t xml:space="preserve"> to </w:t>
      </w:r>
      <w:r>
        <w:rPr>
          <w:sz w:val="22"/>
          <w:szCs w:val="22"/>
        </w:rPr>
        <w:t>hydrogen</w:t>
      </w:r>
      <w:r w:rsidRPr="00A17E6C">
        <w:rPr>
          <w:sz w:val="22"/>
          <w:szCs w:val="22"/>
        </w:rPr>
        <w:t xml:space="preserve">). 50% </w:t>
      </w:r>
      <w:r w:rsidR="009B55BE">
        <w:rPr>
          <w:sz w:val="22"/>
          <w:szCs w:val="22"/>
        </w:rPr>
        <w:t>H</w:t>
      </w:r>
      <w:r>
        <w:rPr>
          <w:sz w:val="22"/>
          <w:szCs w:val="22"/>
        </w:rPr>
        <w:t>ydrogen</w:t>
      </w:r>
      <w:r w:rsidRPr="00A17E6C">
        <w:rPr>
          <w:sz w:val="22"/>
          <w:szCs w:val="22"/>
        </w:rPr>
        <w:t xml:space="preserve"> / 50% Electricity Production (</w:t>
      </w:r>
      <w:r w:rsidR="009B55BE">
        <w:rPr>
          <w:sz w:val="22"/>
          <w:szCs w:val="22"/>
        </w:rPr>
        <w:t xml:space="preserve">50 </w:t>
      </w:r>
      <w:proofErr w:type="spellStart"/>
      <w:r w:rsidR="009B55BE" w:rsidRPr="00A17E6C">
        <w:rPr>
          <w:sz w:val="22"/>
          <w:szCs w:val="22"/>
        </w:rPr>
        <w:t>MW</w:t>
      </w:r>
      <w:r w:rsidR="009B55BE">
        <w:rPr>
          <w:sz w:val="22"/>
          <w:szCs w:val="22"/>
          <w:vertAlign w:val="subscript"/>
        </w:rPr>
        <w:t>th</w:t>
      </w:r>
      <w:proofErr w:type="spellEnd"/>
      <w:r w:rsidR="009B55BE" w:rsidRPr="00A17E6C">
        <w:rPr>
          <w:sz w:val="22"/>
          <w:szCs w:val="22"/>
        </w:rPr>
        <w:t xml:space="preserve"> to </w:t>
      </w:r>
      <w:r w:rsidR="009B55BE">
        <w:rPr>
          <w:sz w:val="22"/>
          <w:szCs w:val="22"/>
        </w:rPr>
        <w:t>hydrogen</w:t>
      </w:r>
      <w:r w:rsidRPr="00A17E6C">
        <w:rPr>
          <w:sz w:val="22"/>
          <w:szCs w:val="22"/>
        </w:rPr>
        <w:t xml:space="preserve">, 50 </w:t>
      </w:r>
      <w:proofErr w:type="spellStart"/>
      <w:r w:rsidRPr="00A17E6C">
        <w:rPr>
          <w:sz w:val="22"/>
          <w:szCs w:val="22"/>
        </w:rPr>
        <w:t>MW</w:t>
      </w:r>
      <w:r w:rsidR="009B55BE" w:rsidRPr="009B55BE">
        <w:rPr>
          <w:sz w:val="22"/>
          <w:szCs w:val="22"/>
          <w:vertAlign w:val="subscript"/>
        </w:rPr>
        <w:t>th</w:t>
      </w:r>
      <w:proofErr w:type="spellEnd"/>
      <w:r w:rsidR="009B55BE">
        <w:rPr>
          <w:sz w:val="22"/>
          <w:szCs w:val="22"/>
        </w:rPr>
        <w:t xml:space="preserve"> </w:t>
      </w:r>
      <w:r w:rsidRPr="00A17E6C">
        <w:rPr>
          <w:sz w:val="22"/>
          <w:szCs w:val="22"/>
        </w:rPr>
        <w:t>to 20 MW</w:t>
      </w:r>
      <w:r w:rsidR="009B55BE">
        <w:rPr>
          <w:sz w:val="22"/>
          <w:szCs w:val="22"/>
          <w:vertAlign w:val="subscript"/>
        </w:rPr>
        <w:t>e</w:t>
      </w:r>
      <w:r w:rsidRPr="00A17E6C">
        <w:rPr>
          <w:sz w:val="22"/>
          <w:szCs w:val="22"/>
        </w:rPr>
        <w:t>.</w:t>
      </w:r>
      <w:r w:rsidR="009B55BE">
        <w:rPr>
          <w:sz w:val="22"/>
          <w:szCs w:val="22"/>
        </w:rPr>
        <w:t xml:space="preserve">) </w:t>
      </w:r>
      <w:r w:rsidRPr="00A17E6C">
        <w:rPr>
          <w:sz w:val="22"/>
          <w:szCs w:val="22"/>
        </w:rPr>
        <w:t xml:space="preserve">10% </w:t>
      </w:r>
      <w:r>
        <w:rPr>
          <w:sz w:val="22"/>
          <w:szCs w:val="22"/>
        </w:rPr>
        <w:t>hydrogen</w:t>
      </w:r>
      <w:r w:rsidRPr="00A17E6C">
        <w:rPr>
          <w:sz w:val="22"/>
          <w:szCs w:val="22"/>
        </w:rPr>
        <w:t xml:space="preserve"> / 90% Electricity Production (10 </w:t>
      </w:r>
      <w:proofErr w:type="spellStart"/>
      <w:r w:rsidR="009B55BE" w:rsidRPr="00A17E6C">
        <w:rPr>
          <w:sz w:val="22"/>
          <w:szCs w:val="22"/>
        </w:rPr>
        <w:t>MW</w:t>
      </w:r>
      <w:r w:rsidR="009B55BE">
        <w:rPr>
          <w:sz w:val="22"/>
          <w:szCs w:val="22"/>
          <w:vertAlign w:val="subscript"/>
        </w:rPr>
        <w:t>th</w:t>
      </w:r>
      <w:proofErr w:type="spellEnd"/>
      <w:r w:rsidR="009B55BE" w:rsidRPr="00A17E6C">
        <w:rPr>
          <w:sz w:val="22"/>
          <w:szCs w:val="22"/>
        </w:rPr>
        <w:t xml:space="preserve"> </w:t>
      </w:r>
      <w:r w:rsidRPr="00A17E6C">
        <w:rPr>
          <w:sz w:val="22"/>
          <w:szCs w:val="22"/>
        </w:rPr>
        <w:t xml:space="preserve">to </w:t>
      </w:r>
      <w:r>
        <w:rPr>
          <w:sz w:val="22"/>
          <w:szCs w:val="22"/>
        </w:rPr>
        <w:t>hydrogen</w:t>
      </w:r>
      <w:r w:rsidRPr="00A17E6C">
        <w:rPr>
          <w:sz w:val="22"/>
          <w:szCs w:val="22"/>
        </w:rPr>
        <w:t xml:space="preserve">, 90 </w:t>
      </w:r>
      <w:proofErr w:type="spellStart"/>
      <w:r w:rsidR="009B55BE" w:rsidRPr="00A17E6C">
        <w:rPr>
          <w:sz w:val="22"/>
          <w:szCs w:val="22"/>
        </w:rPr>
        <w:t>MW</w:t>
      </w:r>
      <w:r w:rsidR="009B55BE">
        <w:rPr>
          <w:sz w:val="22"/>
          <w:szCs w:val="22"/>
          <w:vertAlign w:val="subscript"/>
        </w:rPr>
        <w:t>th</w:t>
      </w:r>
      <w:proofErr w:type="spellEnd"/>
      <w:r w:rsidR="009B55BE" w:rsidRPr="00A17E6C">
        <w:rPr>
          <w:sz w:val="22"/>
          <w:szCs w:val="22"/>
        </w:rPr>
        <w:t xml:space="preserve"> </w:t>
      </w:r>
      <w:r w:rsidRPr="00A17E6C">
        <w:rPr>
          <w:sz w:val="22"/>
          <w:szCs w:val="22"/>
        </w:rPr>
        <w:t xml:space="preserve">to 36 </w:t>
      </w:r>
      <w:r w:rsidR="009B55BE">
        <w:rPr>
          <w:sz w:val="22"/>
          <w:szCs w:val="22"/>
        </w:rPr>
        <w:t>MW</w:t>
      </w:r>
      <w:r w:rsidR="009B55BE" w:rsidRPr="009B55BE">
        <w:rPr>
          <w:sz w:val="22"/>
          <w:szCs w:val="22"/>
          <w:vertAlign w:val="subscript"/>
        </w:rPr>
        <w:t>e</w:t>
      </w:r>
      <w:r w:rsidR="009B55BE">
        <w:rPr>
          <w:sz w:val="22"/>
          <w:szCs w:val="22"/>
        </w:rPr>
        <w:t>.</w:t>
      </w:r>
      <w:r w:rsidRPr="00A17E6C">
        <w:rPr>
          <w:sz w:val="22"/>
          <w:szCs w:val="22"/>
        </w:rPr>
        <w:t xml:space="preserve"> In each scenario, two storage methods—liquefaction and compressed gas—were compared to determine the optimal economic pathway. Input data, including the MSR Overnight Capital Cost (</w:t>
      </w:r>
      <w:r w:rsidR="009B55BE" w:rsidRPr="00A17E6C">
        <w:rPr>
          <w:sz w:val="22"/>
          <w:szCs w:val="22"/>
        </w:rPr>
        <w:t>~</w:t>
      </w:r>
      <w:r w:rsidRPr="00A17E6C">
        <w:rPr>
          <w:sz w:val="22"/>
          <w:szCs w:val="22"/>
        </w:rPr>
        <w:t>5400</w:t>
      </w:r>
      <w:r w:rsidR="009B55BE">
        <w:rPr>
          <w:sz w:val="22"/>
          <w:szCs w:val="22"/>
        </w:rPr>
        <w:t xml:space="preserve"> </w:t>
      </w:r>
      <w:r w:rsidRPr="00A17E6C">
        <w:rPr>
          <w:sz w:val="22"/>
          <w:szCs w:val="22"/>
        </w:rPr>
        <w:t>USD</w:t>
      </w:r>
      <w:r w:rsidR="009B1138">
        <w:rPr>
          <w:sz w:val="22"/>
          <w:szCs w:val="22"/>
        </w:rPr>
        <w:t>/</w:t>
      </w:r>
      <w:proofErr w:type="spellStart"/>
      <w:r w:rsidR="009B1138">
        <w:rPr>
          <w:sz w:val="22"/>
          <w:szCs w:val="22"/>
        </w:rPr>
        <w:t>kW</w:t>
      </w:r>
      <w:r w:rsidR="009B1138" w:rsidRPr="009B1138">
        <w:rPr>
          <w:sz w:val="22"/>
          <w:szCs w:val="22"/>
          <w:vertAlign w:val="subscript"/>
        </w:rPr>
        <w:t>e</w:t>
      </w:r>
      <w:proofErr w:type="spellEnd"/>
      <w:r w:rsidRPr="00A17E6C">
        <w:rPr>
          <w:sz w:val="22"/>
          <w:szCs w:val="22"/>
        </w:rPr>
        <w:t>) and the Th-U fuel cost (</w:t>
      </w:r>
      <w:r w:rsidR="009B1138" w:rsidRPr="00A17E6C">
        <w:rPr>
          <w:sz w:val="22"/>
          <w:szCs w:val="22"/>
        </w:rPr>
        <w:t>~</w:t>
      </w:r>
      <w:r w:rsidRPr="00A17E6C">
        <w:rPr>
          <w:sz w:val="22"/>
          <w:szCs w:val="22"/>
        </w:rPr>
        <w:t>73</w:t>
      </w:r>
      <w:r w:rsidR="009B1138">
        <w:rPr>
          <w:sz w:val="22"/>
          <w:szCs w:val="22"/>
        </w:rPr>
        <w:t xml:space="preserve"> </w:t>
      </w:r>
      <w:r w:rsidRPr="00A17E6C">
        <w:rPr>
          <w:sz w:val="22"/>
          <w:szCs w:val="22"/>
        </w:rPr>
        <w:t>USD\kg), were scaled and validated using referenced data [</w:t>
      </w:r>
      <w:r w:rsidR="0094307E" w:rsidRPr="0094307E">
        <w:rPr>
          <w:sz w:val="22"/>
          <w:szCs w:val="22"/>
        </w:rPr>
        <w:t>5-6</w:t>
      </w:r>
      <w:r w:rsidRPr="00A17E6C">
        <w:rPr>
          <w:sz w:val="22"/>
          <w:szCs w:val="22"/>
        </w:rPr>
        <w:t>]. The comparative analysis of hydrogen storage is detailed in Table I.</w:t>
      </w:r>
    </w:p>
    <w:p w14:paraId="49BFDC0A" w14:textId="77777777" w:rsidR="00781B6A" w:rsidRPr="00BB7497" w:rsidRDefault="00781B6A">
      <w:pPr>
        <w:pStyle w:val="BodyTextIndent"/>
        <w:rPr>
          <w:i/>
          <w:iCs/>
        </w:rPr>
      </w:pPr>
    </w:p>
    <w:p w14:paraId="4224FE6C" w14:textId="5E872BFC" w:rsidR="00781B6A" w:rsidRPr="00BB7497" w:rsidRDefault="00781B6A" w:rsidP="005E4871">
      <w:pPr>
        <w:pStyle w:val="BodyTextIndent"/>
        <w:jc w:val="center"/>
        <w:rPr>
          <w:i/>
          <w:iCs/>
        </w:rPr>
      </w:pPr>
      <w:r w:rsidRPr="00BB7497">
        <w:rPr>
          <w:i/>
          <w:iCs/>
        </w:rPr>
        <w:t>T</w:t>
      </w:r>
      <w:r w:rsidR="00A73779" w:rsidRPr="00BB7497">
        <w:rPr>
          <w:i/>
          <w:iCs/>
        </w:rPr>
        <w:t>able</w:t>
      </w:r>
      <w:r w:rsidRPr="00BB7497">
        <w:rPr>
          <w:i/>
          <w:iCs/>
        </w:rPr>
        <w:t xml:space="preserve"> I</w:t>
      </w:r>
      <w:r w:rsidR="00A73779" w:rsidRPr="00BB7497">
        <w:rPr>
          <w:i/>
          <w:iCs/>
        </w:rPr>
        <w:t xml:space="preserve"> </w:t>
      </w:r>
      <w:r w:rsidR="009B1138" w:rsidRPr="009B1138">
        <w:rPr>
          <w:i/>
          <w:iCs/>
        </w:rPr>
        <w:t xml:space="preserve">Comparison of Hydrogen Storage Costs (from HEEP 50% </w:t>
      </w:r>
      <w:r w:rsidR="009B1138">
        <w:rPr>
          <w:i/>
          <w:iCs/>
        </w:rPr>
        <w:t>H</w:t>
      </w:r>
      <w:r w:rsidR="009B1138" w:rsidRPr="009B1138">
        <w:rPr>
          <w:i/>
          <w:iCs/>
          <w:vertAlign w:val="subscript"/>
        </w:rPr>
        <w:t>2</w:t>
      </w:r>
      <w:r w:rsidR="009B1138" w:rsidRPr="009B1138">
        <w:rPr>
          <w:i/>
          <w:iCs/>
        </w:rPr>
        <w:t xml:space="preserve"> Scenario)</w:t>
      </w:r>
    </w:p>
    <w:p w14:paraId="317A5E39" w14:textId="77777777" w:rsidR="00A73779" w:rsidRDefault="00A73779" w:rsidP="00A73779">
      <w:pPr>
        <w:pStyle w:val="BodyTextIndent"/>
        <w:jc w:val="lef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570"/>
        <w:gridCol w:w="1628"/>
      </w:tblGrid>
      <w:tr w:rsidR="00781B6A" w14:paraId="7240AD88" w14:textId="77777777" w:rsidTr="009B1138">
        <w:tc>
          <w:tcPr>
            <w:tcW w:w="1562" w:type="dxa"/>
            <w:tcBorders>
              <w:bottom w:val="single" w:sz="4" w:space="0" w:color="auto"/>
            </w:tcBorders>
          </w:tcPr>
          <w:p w14:paraId="204148A2" w14:textId="12653098" w:rsidR="00781B6A" w:rsidRDefault="009B1138">
            <w:pPr>
              <w:pStyle w:val="BodyTextIndent"/>
              <w:ind w:firstLine="0"/>
              <w:jc w:val="left"/>
              <w:rPr>
                <w:sz w:val="18"/>
              </w:rPr>
            </w:pPr>
            <w:r>
              <w:rPr>
                <w:sz w:val="18"/>
              </w:rPr>
              <w:t>Parameter</w:t>
            </w:r>
          </w:p>
        </w:tc>
        <w:tc>
          <w:tcPr>
            <w:tcW w:w="1570" w:type="dxa"/>
            <w:tcBorders>
              <w:bottom w:val="single" w:sz="4" w:space="0" w:color="auto"/>
            </w:tcBorders>
          </w:tcPr>
          <w:p w14:paraId="038C28B3" w14:textId="7A7BCB72" w:rsidR="00781B6A" w:rsidRDefault="009B1138" w:rsidP="009B1138">
            <w:pPr>
              <w:pStyle w:val="BodyTextIndent"/>
              <w:ind w:firstLine="0"/>
              <w:rPr>
                <w:sz w:val="18"/>
              </w:rPr>
            </w:pPr>
            <w:r w:rsidRPr="009B1138">
              <w:rPr>
                <w:sz w:val="18"/>
              </w:rPr>
              <w:t>Liquefaction Storage</w:t>
            </w:r>
          </w:p>
        </w:tc>
        <w:tc>
          <w:tcPr>
            <w:tcW w:w="1628" w:type="dxa"/>
            <w:tcBorders>
              <w:bottom w:val="single" w:sz="4" w:space="0" w:color="auto"/>
            </w:tcBorders>
          </w:tcPr>
          <w:p w14:paraId="2B6B76FF" w14:textId="77777777" w:rsidR="009B1138" w:rsidRPr="009B1138" w:rsidRDefault="009B1138" w:rsidP="009B1138">
            <w:pPr>
              <w:pStyle w:val="BodyTextIndent"/>
              <w:rPr>
                <w:sz w:val="18"/>
              </w:rPr>
            </w:pPr>
            <w:r w:rsidRPr="009B1138">
              <w:rPr>
                <w:sz w:val="18"/>
              </w:rPr>
              <w:t>Compressed Gas Storage</w:t>
            </w:r>
          </w:p>
          <w:p w14:paraId="33021732" w14:textId="4CE0EE47" w:rsidR="00781B6A" w:rsidRDefault="00781B6A">
            <w:pPr>
              <w:pStyle w:val="BodyTextIndent"/>
              <w:ind w:firstLine="0"/>
              <w:jc w:val="center"/>
              <w:rPr>
                <w:sz w:val="18"/>
              </w:rPr>
            </w:pPr>
          </w:p>
        </w:tc>
      </w:tr>
      <w:tr w:rsidR="009B1138" w14:paraId="00CBF18E" w14:textId="77777777" w:rsidTr="009B1138">
        <w:tc>
          <w:tcPr>
            <w:tcW w:w="1562" w:type="dxa"/>
            <w:tcBorders>
              <w:bottom w:val="single" w:sz="4" w:space="0" w:color="auto"/>
              <w:right w:val="single" w:sz="4" w:space="0" w:color="auto"/>
            </w:tcBorders>
          </w:tcPr>
          <w:p w14:paraId="5C00BFDA" w14:textId="6B119763" w:rsidR="009B1138" w:rsidRPr="009B1138" w:rsidRDefault="009B1138" w:rsidP="009B1138">
            <w:pPr>
              <w:pStyle w:val="BodyTextIndent"/>
              <w:ind w:firstLine="0"/>
              <w:rPr>
                <w:sz w:val="18"/>
              </w:rPr>
            </w:pPr>
            <w:r>
              <w:rPr>
                <w:sz w:val="18"/>
              </w:rPr>
              <w:t>H</w:t>
            </w:r>
            <w:r w:rsidRPr="009B1138">
              <w:rPr>
                <w:sz w:val="18"/>
                <w:vertAlign w:val="subscript"/>
              </w:rPr>
              <w:t>2</w:t>
            </w:r>
            <w:r w:rsidRPr="009B1138">
              <w:rPr>
                <w:sz w:val="18"/>
              </w:rPr>
              <w:t xml:space="preserve"> Storage Cost Fraction (%)</w:t>
            </w:r>
          </w:p>
          <w:p w14:paraId="54D23712" w14:textId="77777777" w:rsidR="009B1138" w:rsidRDefault="009B1138">
            <w:pPr>
              <w:pStyle w:val="BodyTextIndent"/>
              <w:ind w:firstLine="0"/>
              <w:jc w:val="left"/>
              <w:rPr>
                <w:sz w:val="18"/>
              </w:rPr>
            </w:pPr>
          </w:p>
        </w:tc>
        <w:tc>
          <w:tcPr>
            <w:tcW w:w="1570" w:type="dxa"/>
            <w:tcBorders>
              <w:left w:val="single" w:sz="4" w:space="0" w:color="auto"/>
              <w:bottom w:val="single" w:sz="4" w:space="0" w:color="auto"/>
              <w:right w:val="single" w:sz="4" w:space="0" w:color="auto"/>
            </w:tcBorders>
          </w:tcPr>
          <w:p w14:paraId="1F9785A8" w14:textId="6C7BCF4E" w:rsidR="009B1138" w:rsidRDefault="009B1138">
            <w:pPr>
              <w:pStyle w:val="BodyTextIndent"/>
              <w:ind w:firstLine="0"/>
              <w:jc w:val="center"/>
              <w:rPr>
                <w:sz w:val="18"/>
              </w:rPr>
            </w:pPr>
            <w:r w:rsidRPr="00A17E6C">
              <w:rPr>
                <w:sz w:val="22"/>
                <w:szCs w:val="22"/>
              </w:rPr>
              <w:t>~</w:t>
            </w:r>
            <w:r>
              <w:rPr>
                <w:sz w:val="22"/>
                <w:szCs w:val="22"/>
              </w:rPr>
              <w:t>0.05%</w:t>
            </w:r>
          </w:p>
        </w:tc>
        <w:tc>
          <w:tcPr>
            <w:tcW w:w="1628" w:type="dxa"/>
            <w:tcBorders>
              <w:left w:val="single" w:sz="4" w:space="0" w:color="auto"/>
              <w:bottom w:val="single" w:sz="4" w:space="0" w:color="auto"/>
            </w:tcBorders>
          </w:tcPr>
          <w:p w14:paraId="12EF48E3" w14:textId="48BE05DC" w:rsidR="009B1138" w:rsidRDefault="009B1138">
            <w:pPr>
              <w:pStyle w:val="BodyTextIndent"/>
              <w:ind w:firstLine="0"/>
              <w:jc w:val="center"/>
              <w:rPr>
                <w:sz w:val="18"/>
              </w:rPr>
            </w:pPr>
            <w:r w:rsidRPr="00A17E6C">
              <w:rPr>
                <w:sz w:val="22"/>
                <w:szCs w:val="22"/>
              </w:rPr>
              <w:t>~</w:t>
            </w:r>
            <w:r>
              <w:rPr>
                <w:sz w:val="22"/>
                <w:szCs w:val="22"/>
              </w:rPr>
              <w:t>3.87%</w:t>
            </w:r>
          </w:p>
        </w:tc>
      </w:tr>
      <w:tr w:rsidR="009B1138" w14:paraId="73DF096C" w14:textId="77777777" w:rsidTr="009B1138">
        <w:tc>
          <w:tcPr>
            <w:tcW w:w="1562" w:type="dxa"/>
            <w:tcBorders>
              <w:bottom w:val="single" w:sz="4" w:space="0" w:color="auto"/>
              <w:right w:val="single" w:sz="4" w:space="0" w:color="auto"/>
            </w:tcBorders>
          </w:tcPr>
          <w:p w14:paraId="2AFE73D5" w14:textId="763B1E78" w:rsidR="009B1138" w:rsidRPr="009B1138" w:rsidRDefault="009B1138">
            <w:pPr>
              <w:pStyle w:val="BodyTextIndent"/>
              <w:ind w:firstLine="0"/>
              <w:jc w:val="left"/>
              <w:rPr>
                <w:sz w:val="18"/>
              </w:rPr>
            </w:pPr>
            <w:r>
              <w:rPr>
                <w:sz w:val="18"/>
              </w:rPr>
              <w:t>Total H</w:t>
            </w:r>
            <w:r w:rsidRPr="009B1138">
              <w:rPr>
                <w:sz w:val="18"/>
                <w:vertAlign w:val="subscript"/>
              </w:rPr>
              <w:t>2</w:t>
            </w:r>
            <w:r>
              <w:rPr>
                <w:sz w:val="18"/>
                <w:vertAlign w:val="subscript"/>
              </w:rPr>
              <w:t xml:space="preserve"> </w:t>
            </w:r>
            <w:r>
              <w:rPr>
                <w:sz w:val="18"/>
              </w:rPr>
              <w:t xml:space="preserve">Cost </w:t>
            </w:r>
          </w:p>
        </w:tc>
        <w:tc>
          <w:tcPr>
            <w:tcW w:w="1570" w:type="dxa"/>
            <w:tcBorders>
              <w:left w:val="single" w:sz="4" w:space="0" w:color="auto"/>
              <w:bottom w:val="single" w:sz="4" w:space="0" w:color="auto"/>
              <w:right w:val="single" w:sz="4" w:space="0" w:color="auto"/>
            </w:tcBorders>
          </w:tcPr>
          <w:p w14:paraId="7EAE8266" w14:textId="6B27F3C6" w:rsidR="009B1138" w:rsidRDefault="009B1138">
            <w:pPr>
              <w:pStyle w:val="BodyTextIndent"/>
              <w:ind w:firstLine="0"/>
              <w:jc w:val="center"/>
              <w:rPr>
                <w:sz w:val="18"/>
              </w:rPr>
            </w:pPr>
            <w:r>
              <w:rPr>
                <w:sz w:val="18"/>
              </w:rPr>
              <w:t>7.09</w:t>
            </w:r>
          </w:p>
        </w:tc>
        <w:tc>
          <w:tcPr>
            <w:tcW w:w="1628" w:type="dxa"/>
            <w:tcBorders>
              <w:left w:val="single" w:sz="4" w:space="0" w:color="auto"/>
              <w:bottom w:val="single" w:sz="4" w:space="0" w:color="auto"/>
            </w:tcBorders>
          </w:tcPr>
          <w:p w14:paraId="07CD8E76" w14:textId="4F681284" w:rsidR="009B1138" w:rsidRDefault="009B1138">
            <w:pPr>
              <w:pStyle w:val="BodyTextIndent"/>
              <w:ind w:firstLine="0"/>
              <w:jc w:val="center"/>
              <w:rPr>
                <w:sz w:val="18"/>
              </w:rPr>
            </w:pPr>
            <w:r>
              <w:rPr>
                <w:sz w:val="18"/>
              </w:rPr>
              <w:t>7.39</w:t>
            </w:r>
          </w:p>
        </w:tc>
      </w:tr>
    </w:tbl>
    <w:p w14:paraId="26A784A2" w14:textId="77777777" w:rsidR="00781B6A" w:rsidRPr="00BB7497" w:rsidRDefault="00781B6A" w:rsidP="00AA6857">
      <w:pPr>
        <w:pStyle w:val="BodyTextIndent"/>
        <w:ind w:firstLine="0"/>
        <w:rPr>
          <w:sz w:val="22"/>
          <w:szCs w:val="22"/>
        </w:rPr>
      </w:pPr>
    </w:p>
    <w:p w14:paraId="0397F826" w14:textId="7FA6D8C7" w:rsidR="00781B6A" w:rsidRPr="00BB7497" w:rsidRDefault="00781B6A" w:rsidP="00B029D3">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III. </w:t>
      </w:r>
      <w:r w:rsidR="009B1138">
        <w:rPr>
          <w:rFonts w:ascii="Times New Roman" w:hAnsi="Times New Roman"/>
          <w:caps w:val="0"/>
          <w:sz w:val="22"/>
          <w:szCs w:val="22"/>
        </w:rPr>
        <w:t>Discussion and Results</w:t>
      </w:r>
    </w:p>
    <w:p w14:paraId="78176D3E" w14:textId="77777777" w:rsidR="00781B6A" w:rsidRPr="00BB7497" w:rsidRDefault="00781B6A">
      <w:pPr>
        <w:pStyle w:val="BodyTextIndent"/>
        <w:jc w:val="center"/>
        <w:rPr>
          <w:b/>
          <w:bCs/>
          <w:sz w:val="22"/>
          <w:szCs w:val="22"/>
        </w:rPr>
      </w:pPr>
    </w:p>
    <w:p w14:paraId="7F633B8A" w14:textId="3F1ED55D" w:rsidR="009B1138" w:rsidRDefault="009B1138" w:rsidP="009B1138">
      <w:pPr>
        <w:pStyle w:val="BodyTextIndent"/>
        <w:rPr>
          <w:sz w:val="22"/>
          <w:szCs w:val="22"/>
        </w:rPr>
      </w:pPr>
      <w:r w:rsidRPr="009B1138">
        <w:rPr>
          <w:sz w:val="22"/>
          <w:szCs w:val="22"/>
        </w:rPr>
        <w:t xml:space="preserve">The HEEP simulation results show a strong correlation between the co-production ratio (electricity vs. </w:t>
      </w:r>
      <w:r w:rsidR="00102DA5">
        <w:rPr>
          <w:sz w:val="22"/>
          <w:szCs w:val="22"/>
        </w:rPr>
        <w:t>hydrogen</w:t>
      </w:r>
      <w:r w:rsidRPr="009B1138">
        <w:rPr>
          <w:sz w:val="22"/>
          <w:szCs w:val="22"/>
        </w:rPr>
        <w:t xml:space="preserve">) and the final net cost of hydrogen, highlighting the benefits of utilizing off-peak thermal </w:t>
      </w:r>
      <w:r w:rsidRPr="009B1138">
        <w:rPr>
          <w:sz w:val="22"/>
          <w:szCs w:val="22"/>
        </w:rPr>
        <w:lastRenderedPageBreak/>
        <w:t xml:space="preserve">energy for </w:t>
      </w:r>
      <w:r w:rsidR="00102DA5">
        <w:rPr>
          <w:sz w:val="22"/>
          <w:szCs w:val="22"/>
        </w:rPr>
        <w:t>hydrogen</w:t>
      </w:r>
      <w:r w:rsidRPr="009B1138">
        <w:rPr>
          <w:sz w:val="22"/>
          <w:szCs w:val="22"/>
        </w:rPr>
        <w:t xml:space="preserve"> generation. In the 100% </w:t>
      </w:r>
      <w:r w:rsidR="00102DA5">
        <w:rPr>
          <w:sz w:val="22"/>
          <w:szCs w:val="22"/>
        </w:rPr>
        <w:t>hydrogen</w:t>
      </w:r>
      <w:r w:rsidRPr="009B1138">
        <w:rPr>
          <w:sz w:val="22"/>
          <w:szCs w:val="22"/>
        </w:rPr>
        <w:t xml:space="preserve"> production case, the </w:t>
      </w:r>
      <w:r w:rsidR="00102DA5">
        <w:rPr>
          <w:sz w:val="22"/>
          <w:szCs w:val="22"/>
        </w:rPr>
        <w:t>t</w:t>
      </w:r>
      <w:r w:rsidRPr="009B1138">
        <w:rPr>
          <w:sz w:val="22"/>
          <w:szCs w:val="22"/>
        </w:rPr>
        <w:t xml:space="preserve">otal </w:t>
      </w:r>
      <w:r w:rsidR="00102DA5">
        <w:rPr>
          <w:sz w:val="22"/>
          <w:szCs w:val="22"/>
        </w:rPr>
        <w:t>hydrogen</w:t>
      </w:r>
      <w:r w:rsidRPr="009B1138">
        <w:rPr>
          <w:sz w:val="22"/>
          <w:szCs w:val="22"/>
        </w:rPr>
        <w:t xml:space="preserve"> </w:t>
      </w:r>
      <w:r w:rsidR="00102DA5">
        <w:rPr>
          <w:sz w:val="22"/>
          <w:szCs w:val="22"/>
        </w:rPr>
        <w:t>c</w:t>
      </w:r>
      <w:r w:rsidRPr="009B1138">
        <w:rPr>
          <w:sz w:val="22"/>
          <w:szCs w:val="22"/>
        </w:rPr>
        <w:t>ost was determined to be 7.16</w:t>
      </w:r>
      <w:r w:rsidR="00102DA5">
        <w:rPr>
          <w:sz w:val="22"/>
          <w:szCs w:val="22"/>
        </w:rPr>
        <w:t xml:space="preserve"> </w:t>
      </w:r>
      <w:r w:rsidRPr="009B1138">
        <w:rPr>
          <w:sz w:val="22"/>
          <w:szCs w:val="22"/>
        </w:rPr>
        <w:t>~</w:t>
      </w:r>
      <w:r w:rsidR="00102DA5">
        <w:rPr>
          <w:sz w:val="22"/>
          <w:szCs w:val="22"/>
        </w:rPr>
        <w:t xml:space="preserve">USD/kg </w:t>
      </w:r>
      <w:r w:rsidRPr="009B1138">
        <w:rPr>
          <w:sz w:val="22"/>
          <w:szCs w:val="22"/>
        </w:rPr>
        <w:t>for liquefaction and 7.44</w:t>
      </w:r>
      <w:r w:rsidR="00102DA5">
        <w:rPr>
          <w:sz w:val="22"/>
          <w:szCs w:val="22"/>
        </w:rPr>
        <w:t xml:space="preserve"> </w:t>
      </w:r>
      <w:r w:rsidR="00102DA5" w:rsidRPr="009B1138">
        <w:rPr>
          <w:sz w:val="22"/>
          <w:szCs w:val="22"/>
        </w:rPr>
        <w:t>~</w:t>
      </w:r>
      <w:r w:rsidR="00102DA5">
        <w:rPr>
          <w:sz w:val="22"/>
          <w:szCs w:val="22"/>
        </w:rPr>
        <w:t xml:space="preserve">USD/kg </w:t>
      </w:r>
      <w:r w:rsidRPr="009B1138">
        <w:rPr>
          <w:sz w:val="22"/>
          <w:szCs w:val="22"/>
        </w:rPr>
        <w:t>for compressed gas. The Nuclear Power component accounted for the majority of the cost (</w:t>
      </w:r>
      <w:r w:rsidR="00102DA5" w:rsidRPr="009B1138">
        <w:rPr>
          <w:sz w:val="22"/>
          <w:szCs w:val="22"/>
        </w:rPr>
        <w:t>~</w:t>
      </w:r>
      <w:r w:rsidRPr="009B1138">
        <w:rPr>
          <w:sz w:val="22"/>
          <w:szCs w:val="22"/>
        </w:rPr>
        <w:t xml:space="preserve"> 70%-73%), emphasizing the significance of the MSR's OVC.</w:t>
      </w:r>
    </w:p>
    <w:p w14:paraId="35DC22C2" w14:textId="45B24EE2" w:rsidR="00102DA5" w:rsidRDefault="00102DA5" w:rsidP="00102DA5">
      <w:pPr>
        <w:pStyle w:val="BodyTextIndent"/>
        <w:rPr>
          <w:sz w:val="22"/>
          <w:szCs w:val="22"/>
        </w:rPr>
      </w:pPr>
      <w:r w:rsidRPr="00102DA5">
        <w:rPr>
          <w:sz w:val="22"/>
          <w:szCs w:val="22"/>
        </w:rPr>
        <w:t>A crucial finding relates to the storage method, where liquefaction was consistently found to be more economically favorable than compressed gas storage across all scenarios, primarily due to the significantly lower storage cost fraction (</w:t>
      </w:r>
      <w:r w:rsidRPr="009B1138">
        <w:rPr>
          <w:sz w:val="22"/>
          <w:szCs w:val="22"/>
        </w:rPr>
        <w:t xml:space="preserve">~ </w:t>
      </w:r>
      <w:r w:rsidRPr="00102DA5">
        <w:rPr>
          <w:sz w:val="22"/>
          <w:szCs w:val="22"/>
        </w:rPr>
        <w:t xml:space="preserve">0.05% vs. </w:t>
      </w:r>
      <w:r w:rsidRPr="009B1138">
        <w:rPr>
          <w:sz w:val="22"/>
          <w:szCs w:val="22"/>
        </w:rPr>
        <w:t xml:space="preserve">~ </w:t>
      </w:r>
      <w:r w:rsidRPr="00102DA5">
        <w:rPr>
          <w:sz w:val="22"/>
          <w:szCs w:val="22"/>
        </w:rPr>
        <w:t>3.87%). The majority of the cost in the compressed gas scenario comes from the compressor's operating cost compared to the liquefier.</w:t>
      </w:r>
    </w:p>
    <w:p w14:paraId="4D0DF0BF" w14:textId="603A609C" w:rsidR="00102DA5" w:rsidRPr="00102DA5" w:rsidRDefault="00102DA5" w:rsidP="00102DA5">
      <w:pPr>
        <w:pStyle w:val="BodyTextIndent"/>
        <w:rPr>
          <w:sz w:val="22"/>
          <w:szCs w:val="22"/>
        </w:rPr>
      </w:pPr>
      <w:r w:rsidRPr="00102DA5">
        <w:rPr>
          <w:sz w:val="22"/>
          <w:szCs w:val="22"/>
        </w:rPr>
        <w:t xml:space="preserve">The economic advantage of electricity co-production became clear in the </w:t>
      </w:r>
      <w:r>
        <w:rPr>
          <w:sz w:val="22"/>
          <w:szCs w:val="22"/>
        </w:rPr>
        <w:t xml:space="preserve">50% </w:t>
      </w:r>
      <w:r w:rsidRPr="00102DA5">
        <w:rPr>
          <w:sz w:val="22"/>
          <w:szCs w:val="22"/>
        </w:rPr>
        <w:t xml:space="preserve">and </w:t>
      </w:r>
      <w:r>
        <w:rPr>
          <w:sz w:val="22"/>
          <w:szCs w:val="22"/>
        </w:rPr>
        <w:t xml:space="preserve">10% hydrogen </w:t>
      </w:r>
      <w:r w:rsidRPr="00102DA5">
        <w:rPr>
          <w:sz w:val="22"/>
          <w:szCs w:val="22"/>
        </w:rPr>
        <w:t xml:space="preserve">cases. By selling the co-generated electrical energy </w:t>
      </w:r>
      <w:r>
        <w:rPr>
          <w:sz w:val="22"/>
          <w:szCs w:val="22"/>
        </w:rPr>
        <w:t xml:space="preserve">(82 USD/MWh) </w:t>
      </w:r>
      <w:r w:rsidRPr="00102DA5">
        <w:rPr>
          <w:sz w:val="22"/>
          <w:szCs w:val="22"/>
        </w:rPr>
        <w:t xml:space="preserve">the net cost of hydrogen was drastically reduced: </w:t>
      </w:r>
      <w:r>
        <w:rPr>
          <w:sz w:val="22"/>
          <w:szCs w:val="22"/>
        </w:rPr>
        <w:t xml:space="preserve">50% Hydrogen </w:t>
      </w:r>
      <w:r w:rsidRPr="00102DA5">
        <w:rPr>
          <w:sz w:val="22"/>
          <w:szCs w:val="22"/>
        </w:rPr>
        <w:t>Case</w:t>
      </w:r>
      <w:r w:rsidRPr="00102DA5">
        <w:rPr>
          <w:b/>
          <w:bCs/>
          <w:sz w:val="22"/>
          <w:szCs w:val="22"/>
        </w:rPr>
        <w:t xml:space="preserve"> (</w:t>
      </w:r>
      <w:r w:rsidRPr="00102DA5">
        <w:rPr>
          <w:sz w:val="22"/>
          <w:szCs w:val="22"/>
        </w:rPr>
        <w:t>20</w:t>
      </w:r>
      <w:r w:rsidRPr="00102DA5">
        <w:rPr>
          <w:b/>
          <w:bCs/>
          <w:sz w:val="22"/>
          <w:szCs w:val="22"/>
        </w:rPr>
        <w:t xml:space="preserve"> </w:t>
      </w:r>
      <w:r w:rsidRPr="00102DA5">
        <w:rPr>
          <w:sz w:val="22"/>
          <w:szCs w:val="22"/>
        </w:rPr>
        <w:t>MW</w:t>
      </w:r>
      <w:r w:rsidRPr="00102DA5">
        <w:rPr>
          <w:sz w:val="22"/>
          <w:szCs w:val="22"/>
          <w:vertAlign w:val="subscript"/>
        </w:rPr>
        <w:t>e</w:t>
      </w:r>
      <w:r>
        <w:rPr>
          <w:sz w:val="22"/>
          <w:szCs w:val="22"/>
          <w:vertAlign w:val="subscript"/>
        </w:rPr>
        <w:t xml:space="preserve"> </w:t>
      </w:r>
      <w:r w:rsidRPr="00102DA5">
        <w:rPr>
          <w:sz w:val="22"/>
          <w:szCs w:val="22"/>
        </w:rPr>
        <w:t>produced)</w:t>
      </w:r>
      <w:r>
        <w:rPr>
          <w:sz w:val="22"/>
          <w:szCs w:val="22"/>
        </w:rPr>
        <w:t>.</w:t>
      </w:r>
      <w:r w:rsidRPr="00102DA5">
        <w:rPr>
          <w:sz w:val="22"/>
          <w:szCs w:val="22"/>
        </w:rPr>
        <w:t xml:space="preserve"> The net </w:t>
      </w:r>
      <w:r>
        <w:rPr>
          <w:sz w:val="22"/>
          <w:szCs w:val="22"/>
        </w:rPr>
        <w:t>hydrogen</w:t>
      </w:r>
      <w:r w:rsidRPr="00102DA5">
        <w:rPr>
          <w:sz w:val="22"/>
          <w:szCs w:val="22"/>
        </w:rPr>
        <w:t xml:space="preserve"> cost dropped to 4.60</w:t>
      </w:r>
      <w:r>
        <w:rPr>
          <w:sz w:val="22"/>
          <w:szCs w:val="22"/>
        </w:rPr>
        <w:t xml:space="preserve"> USD/kg </w:t>
      </w:r>
      <w:r w:rsidRPr="00102DA5">
        <w:rPr>
          <w:sz w:val="22"/>
          <w:szCs w:val="22"/>
        </w:rPr>
        <w:t>(liquefaction) and 4.90</w:t>
      </w:r>
      <w:r>
        <w:rPr>
          <w:sz w:val="22"/>
          <w:szCs w:val="22"/>
        </w:rPr>
        <w:t xml:space="preserve"> USD/kg</w:t>
      </w:r>
      <w:r w:rsidRPr="00102DA5">
        <w:rPr>
          <w:sz w:val="22"/>
          <w:szCs w:val="22"/>
        </w:rPr>
        <w:t xml:space="preserve"> (compressed gas).</w:t>
      </w:r>
      <w:r>
        <w:rPr>
          <w:sz w:val="22"/>
          <w:szCs w:val="22"/>
        </w:rPr>
        <w:t xml:space="preserve"> </w:t>
      </w:r>
      <w:r w:rsidRPr="00102DA5">
        <w:rPr>
          <w:sz w:val="22"/>
          <w:szCs w:val="22"/>
        </w:rPr>
        <w:t>10%</w:t>
      </w:r>
      <w:r w:rsidRPr="00102DA5">
        <w:rPr>
          <w:b/>
          <w:bCs/>
          <w:sz w:val="22"/>
          <w:szCs w:val="22"/>
        </w:rPr>
        <w:t xml:space="preserve"> </w:t>
      </w:r>
      <w:r>
        <w:rPr>
          <w:sz w:val="22"/>
          <w:szCs w:val="22"/>
        </w:rPr>
        <w:t>hydrogen</w:t>
      </w:r>
      <w:r w:rsidRPr="00102DA5">
        <w:rPr>
          <w:b/>
          <w:bCs/>
          <w:sz w:val="22"/>
          <w:szCs w:val="22"/>
        </w:rPr>
        <w:t xml:space="preserve"> </w:t>
      </w:r>
      <w:r w:rsidRPr="00102DA5">
        <w:rPr>
          <w:sz w:val="22"/>
          <w:szCs w:val="22"/>
        </w:rPr>
        <w:t>Case</w:t>
      </w:r>
      <w:r w:rsidRPr="00102DA5">
        <w:rPr>
          <w:b/>
          <w:bCs/>
          <w:sz w:val="22"/>
          <w:szCs w:val="22"/>
        </w:rPr>
        <w:t xml:space="preserve"> </w:t>
      </w:r>
      <w:r w:rsidRPr="00102DA5">
        <w:rPr>
          <w:sz w:val="22"/>
          <w:szCs w:val="22"/>
        </w:rPr>
        <w:t xml:space="preserve">(36 </w:t>
      </w:r>
      <w:r w:rsidR="00AA6857" w:rsidRPr="00AA6857">
        <w:rPr>
          <w:sz w:val="22"/>
          <w:szCs w:val="22"/>
        </w:rPr>
        <w:t>MW</w:t>
      </w:r>
      <w:r w:rsidR="00AA6857" w:rsidRPr="00AA6857">
        <w:rPr>
          <w:sz w:val="22"/>
          <w:szCs w:val="22"/>
          <w:vertAlign w:val="subscript"/>
        </w:rPr>
        <w:t>e</w:t>
      </w:r>
      <w:r w:rsidR="00AA6857">
        <w:rPr>
          <w:sz w:val="22"/>
          <w:szCs w:val="22"/>
          <w:vertAlign w:val="subscript"/>
        </w:rPr>
        <w:t xml:space="preserve"> </w:t>
      </w:r>
      <w:r w:rsidRPr="00102DA5">
        <w:rPr>
          <w:sz w:val="22"/>
          <w:szCs w:val="22"/>
        </w:rPr>
        <w:t xml:space="preserve">produced): The revenue from electricity sales completely covered the </w:t>
      </w:r>
      <w:r>
        <w:rPr>
          <w:sz w:val="22"/>
          <w:szCs w:val="22"/>
        </w:rPr>
        <w:t>hydrogen</w:t>
      </w:r>
      <w:r w:rsidRPr="00102DA5">
        <w:rPr>
          <w:sz w:val="22"/>
          <w:szCs w:val="22"/>
        </w:rPr>
        <w:t xml:space="preserve"> costs, resulting in a </w:t>
      </w:r>
      <w:r w:rsidRPr="00102DA5">
        <w:rPr>
          <w:b/>
          <w:bCs/>
          <w:sz w:val="22"/>
          <w:szCs w:val="22"/>
        </w:rPr>
        <w:t xml:space="preserve">negative net </w:t>
      </w:r>
      <w:r w:rsidRPr="0094307E">
        <w:rPr>
          <w:b/>
          <w:bCs/>
          <w:sz w:val="22"/>
          <w:szCs w:val="22"/>
        </w:rPr>
        <w:t>hydrogen</w:t>
      </w:r>
      <w:r w:rsidRPr="00102DA5">
        <w:rPr>
          <w:b/>
          <w:bCs/>
          <w:sz w:val="22"/>
          <w:szCs w:val="22"/>
        </w:rPr>
        <w:t xml:space="preserve"> cost</w:t>
      </w:r>
      <w:r w:rsidRPr="00102DA5">
        <w:rPr>
          <w:sz w:val="22"/>
          <w:szCs w:val="22"/>
        </w:rPr>
        <w:t xml:space="preserve"> of -19.02</w:t>
      </w:r>
      <w:r w:rsidR="00AA6857">
        <w:rPr>
          <w:sz w:val="22"/>
          <w:szCs w:val="22"/>
        </w:rPr>
        <w:t xml:space="preserve"> USD/kg</w:t>
      </w:r>
      <w:r w:rsidRPr="00102DA5">
        <w:rPr>
          <w:sz w:val="22"/>
          <w:szCs w:val="22"/>
        </w:rPr>
        <w:t xml:space="preserve"> (liquefaction) and -18.74 </w:t>
      </w:r>
      <w:r w:rsidR="00AA6857">
        <w:rPr>
          <w:sz w:val="22"/>
          <w:szCs w:val="22"/>
        </w:rPr>
        <w:t xml:space="preserve">USD/kg </w:t>
      </w:r>
      <w:r w:rsidRPr="00102DA5">
        <w:rPr>
          <w:sz w:val="22"/>
          <w:szCs w:val="22"/>
        </w:rPr>
        <w:t xml:space="preserve">(compressed gas). This negative net cost indicates that the revenue generated from selling the co-produced electricity significantly exceeds the total costs of the nuclear plant and the </w:t>
      </w:r>
      <w:r>
        <w:rPr>
          <w:sz w:val="22"/>
          <w:szCs w:val="22"/>
        </w:rPr>
        <w:t>hydrogen</w:t>
      </w:r>
      <w:r w:rsidRPr="00102DA5">
        <w:rPr>
          <w:sz w:val="22"/>
          <w:szCs w:val="22"/>
        </w:rPr>
        <w:t xml:space="preserve"> co-generation and storage, making the system a net-revenue generator while still providing a clean </w:t>
      </w:r>
      <w:r>
        <w:rPr>
          <w:sz w:val="22"/>
          <w:szCs w:val="22"/>
        </w:rPr>
        <w:t>hydrogen</w:t>
      </w:r>
      <w:r w:rsidRPr="00102DA5">
        <w:rPr>
          <w:sz w:val="22"/>
          <w:szCs w:val="22"/>
        </w:rPr>
        <w:t xml:space="preserve"> supply.</w:t>
      </w:r>
    </w:p>
    <w:p w14:paraId="606C1EC4" w14:textId="77777777" w:rsidR="00781B6A" w:rsidRPr="00BB7497" w:rsidRDefault="00781B6A" w:rsidP="00AA6857">
      <w:pPr>
        <w:pStyle w:val="BodyTextIndent"/>
        <w:ind w:firstLine="0"/>
        <w:rPr>
          <w:sz w:val="22"/>
          <w:szCs w:val="22"/>
        </w:rPr>
      </w:pPr>
    </w:p>
    <w:p w14:paraId="2EE535F9" w14:textId="05505C38" w:rsidR="00781B6A" w:rsidRPr="00BB7497" w:rsidRDefault="00781B6A" w:rsidP="00A73779">
      <w:pPr>
        <w:pStyle w:val="AbstractClauseTitle"/>
        <w:jc w:val="left"/>
        <w:rPr>
          <w:rFonts w:ascii="Times New Roman" w:hAnsi="Times New Roman"/>
          <w:caps w:val="0"/>
          <w:sz w:val="22"/>
          <w:szCs w:val="22"/>
        </w:rPr>
      </w:pPr>
      <w:r w:rsidRPr="00BB7497">
        <w:rPr>
          <w:rFonts w:ascii="Times New Roman" w:hAnsi="Times New Roman"/>
          <w:caps w:val="0"/>
          <w:sz w:val="22"/>
          <w:szCs w:val="22"/>
        </w:rPr>
        <w:t xml:space="preserve">IV. </w:t>
      </w:r>
      <w:r w:rsidR="00A73779" w:rsidRPr="00BB7497">
        <w:rPr>
          <w:rFonts w:ascii="Times New Roman" w:hAnsi="Times New Roman"/>
          <w:caps w:val="0"/>
          <w:sz w:val="22"/>
          <w:szCs w:val="22"/>
        </w:rPr>
        <w:t>Conclusions</w:t>
      </w:r>
    </w:p>
    <w:p w14:paraId="2A545319" w14:textId="77777777" w:rsidR="00781B6A" w:rsidRPr="00BB7497" w:rsidRDefault="00781B6A">
      <w:pPr>
        <w:pStyle w:val="BodyTextIndent"/>
        <w:jc w:val="center"/>
        <w:rPr>
          <w:sz w:val="22"/>
          <w:szCs w:val="22"/>
        </w:rPr>
      </w:pPr>
    </w:p>
    <w:p w14:paraId="00049E0F" w14:textId="272A60FA" w:rsidR="00781B6A" w:rsidRPr="00AA6857" w:rsidRDefault="00AA6857" w:rsidP="00AA6857">
      <w:pPr>
        <w:pStyle w:val="BodyTextIndent"/>
        <w:rPr>
          <w:sz w:val="22"/>
          <w:szCs w:val="22"/>
        </w:rPr>
      </w:pPr>
      <w:r w:rsidRPr="00AA6857">
        <w:rPr>
          <w:sz w:val="22"/>
          <w:szCs w:val="22"/>
        </w:rPr>
        <w:t xml:space="preserve">This economic evaluation confirms the viability of integrating a </w:t>
      </w:r>
      <w:r>
        <w:rPr>
          <w:sz w:val="22"/>
          <w:szCs w:val="22"/>
        </w:rPr>
        <w:t xml:space="preserve">SM-MSR </w:t>
      </w:r>
      <w:r w:rsidRPr="00AA6857">
        <w:rPr>
          <w:sz w:val="22"/>
          <w:szCs w:val="22"/>
        </w:rPr>
        <w:t xml:space="preserve">with the Copper-Chlorine thermochemical cycle for sustainable </w:t>
      </w:r>
      <w:r>
        <w:rPr>
          <w:sz w:val="22"/>
          <w:szCs w:val="22"/>
        </w:rPr>
        <w:t>hydrogen</w:t>
      </w:r>
      <w:r w:rsidRPr="00AA6857">
        <w:rPr>
          <w:sz w:val="22"/>
          <w:szCs w:val="22"/>
        </w:rPr>
        <w:t xml:space="preserve"> production. The MSR's optimal operating temperature aligns perfectly with the Cu-Cl</w:t>
      </w:r>
      <w:r>
        <w:rPr>
          <w:sz w:val="22"/>
          <w:szCs w:val="22"/>
        </w:rPr>
        <w:t xml:space="preserve"> </w:t>
      </w:r>
      <w:r w:rsidRPr="00AA6857">
        <w:rPr>
          <w:sz w:val="22"/>
          <w:szCs w:val="22"/>
        </w:rPr>
        <w:t xml:space="preserve">cycle, offering a high-efficiency </w:t>
      </w:r>
      <w:r>
        <w:rPr>
          <w:sz w:val="22"/>
          <w:szCs w:val="22"/>
        </w:rPr>
        <w:t>hydrogen</w:t>
      </w:r>
      <w:r w:rsidRPr="00AA6857">
        <w:rPr>
          <w:sz w:val="22"/>
          <w:szCs w:val="22"/>
        </w:rPr>
        <w:t xml:space="preserve"> production pathway. Economically, the lowest net </w:t>
      </w:r>
      <w:r>
        <w:rPr>
          <w:sz w:val="22"/>
          <w:szCs w:val="22"/>
        </w:rPr>
        <w:t>hydrogen</w:t>
      </w:r>
      <w:r w:rsidRPr="00AA6857">
        <w:rPr>
          <w:sz w:val="22"/>
          <w:szCs w:val="22"/>
        </w:rPr>
        <w:t xml:space="preserve"> production costs are achieved when the system operates primarily for electricity generation with </w:t>
      </w:r>
      <w:r>
        <w:rPr>
          <w:sz w:val="22"/>
          <w:szCs w:val="22"/>
        </w:rPr>
        <w:t>hydrogen</w:t>
      </w:r>
      <w:r w:rsidRPr="00AA6857">
        <w:rPr>
          <w:sz w:val="22"/>
          <w:szCs w:val="22"/>
        </w:rPr>
        <w:t xml:space="preserve"> as a thermal load utilization product (the 10</w:t>
      </w:r>
      <w:r>
        <w:rPr>
          <w:sz w:val="22"/>
          <w:szCs w:val="22"/>
        </w:rPr>
        <w:t>%</w:t>
      </w:r>
      <w:r w:rsidRPr="00AA6857">
        <w:rPr>
          <w:sz w:val="22"/>
          <w:szCs w:val="22"/>
        </w:rPr>
        <w:t xml:space="preserve"> </w:t>
      </w:r>
      <w:r>
        <w:rPr>
          <w:sz w:val="22"/>
          <w:szCs w:val="22"/>
        </w:rPr>
        <w:t>hydrogen</w:t>
      </w:r>
      <w:r w:rsidRPr="00AA6857">
        <w:rPr>
          <w:sz w:val="22"/>
          <w:szCs w:val="22"/>
        </w:rPr>
        <w:t xml:space="preserve"> case), leading to a negative net cost for the </w:t>
      </w:r>
      <w:r>
        <w:rPr>
          <w:sz w:val="22"/>
          <w:szCs w:val="22"/>
        </w:rPr>
        <w:t>hydrogen</w:t>
      </w:r>
      <w:r w:rsidRPr="00AA6857">
        <w:rPr>
          <w:sz w:val="22"/>
          <w:szCs w:val="22"/>
        </w:rPr>
        <w:t xml:space="preserve">. Furthermore, the HEEP simulation definitively shows that storing </w:t>
      </w:r>
      <w:r>
        <w:rPr>
          <w:sz w:val="22"/>
          <w:szCs w:val="22"/>
        </w:rPr>
        <w:t>hydrogen</w:t>
      </w:r>
      <w:r w:rsidRPr="00AA6857">
        <w:rPr>
          <w:sz w:val="22"/>
          <w:szCs w:val="22"/>
        </w:rPr>
        <w:t xml:space="preserve"> in a liquid state is the most economical storage method, possessing a significantly lower cost fraction than compressed gas storage. </w:t>
      </w:r>
      <w:r w:rsidRPr="00AA6857">
        <w:rPr>
          <w:sz w:val="22"/>
          <w:szCs w:val="22"/>
        </w:rPr>
        <w:t xml:space="preserve">Future work should focus on reducing the MSR's initial OVC to further optimize the overall </w:t>
      </w:r>
      <w:r>
        <w:rPr>
          <w:sz w:val="22"/>
          <w:szCs w:val="22"/>
        </w:rPr>
        <w:t>hydrogen</w:t>
      </w:r>
      <w:r w:rsidRPr="00AA6857">
        <w:rPr>
          <w:sz w:val="22"/>
          <w:szCs w:val="22"/>
        </w:rPr>
        <w:t xml:space="preserve"> production cost.</w:t>
      </w:r>
    </w:p>
    <w:p w14:paraId="4C304CDC" w14:textId="3900EC4C" w:rsidR="00781B6A" w:rsidRPr="00BB7497" w:rsidRDefault="00A73779" w:rsidP="00A73779">
      <w:pPr>
        <w:pStyle w:val="AcknowledgmentsClauseTitle"/>
        <w:jc w:val="left"/>
        <w:rPr>
          <w:rFonts w:ascii="Times New Roman" w:hAnsi="Times New Roman"/>
          <w:sz w:val="22"/>
          <w:szCs w:val="22"/>
        </w:rPr>
      </w:pPr>
      <w:r w:rsidRPr="00BB7497">
        <w:rPr>
          <w:rFonts w:ascii="Times New Roman" w:hAnsi="Times New Roman"/>
          <w:caps w:val="0"/>
          <w:sz w:val="22"/>
          <w:szCs w:val="22"/>
        </w:rPr>
        <w:t>Acknowledgments</w:t>
      </w:r>
    </w:p>
    <w:p w14:paraId="10935B15" w14:textId="77777777" w:rsidR="00A73779" w:rsidRPr="00BB7497" w:rsidRDefault="00A73779" w:rsidP="00A73779">
      <w:pPr>
        <w:pStyle w:val="BodyTextIndent"/>
        <w:ind w:firstLine="0"/>
        <w:rPr>
          <w:sz w:val="22"/>
          <w:szCs w:val="22"/>
        </w:rPr>
      </w:pPr>
    </w:p>
    <w:p w14:paraId="19723680" w14:textId="10C32447" w:rsidR="00781B6A" w:rsidRPr="00BB7497" w:rsidRDefault="00E46211" w:rsidP="00E46211">
      <w:pPr>
        <w:pStyle w:val="BodyTextIndent"/>
        <w:rPr>
          <w:sz w:val="22"/>
          <w:szCs w:val="22"/>
        </w:rPr>
      </w:pPr>
      <w:r>
        <w:rPr>
          <w:sz w:val="22"/>
          <w:szCs w:val="22"/>
        </w:rPr>
        <w:t xml:space="preserve">The </w:t>
      </w:r>
      <w:r w:rsidRPr="00E46211">
        <w:rPr>
          <w:sz w:val="22"/>
          <w:szCs w:val="22"/>
        </w:rPr>
        <w:t>author would like to express sincere gratitude to Abdelrahman Abdelwahab for his dedication and comprehensive</w:t>
      </w:r>
      <w:r>
        <w:rPr>
          <w:sz w:val="22"/>
          <w:szCs w:val="22"/>
        </w:rPr>
        <w:t xml:space="preserve"> support to this research.</w:t>
      </w:r>
    </w:p>
    <w:p w14:paraId="47B1ABC0" w14:textId="2D0462CA" w:rsidR="00781B6A" w:rsidRPr="00BB7497" w:rsidRDefault="00A73779">
      <w:pPr>
        <w:pStyle w:val="ReferencesClauseTitle"/>
        <w:jc w:val="center"/>
        <w:rPr>
          <w:rFonts w:ascii="Times New Roman" w:hAnsi="Times New Roman"/>
          <w:sz w:val="22"/>
          <w:szCs w:val="22"/>
        </w:rPr>
      </w:pPr>
      <w:r w:rsidRPr="00BB7497">
        <w:rPr>
          <w:rFonts w:ascii="Times New Roman" w:hAnsi="Times New Roman"/>
          <w:caps w:val="0"/>
          <w:sz w:val="22"/>
          <w:szCs w:val="22"/>
        </w:rPr>
        <w:t>References</w:t>
      </w:r>
    </w:p>
    <w:p w14:paraId="0616C663" w14:textId="77777777" w:rsidR="00781B6A" w:rsidRDefault="00781B6A">
      <w:pPr>
        <w:pStyle w:val="BodyTextIndent"/>
      </w:pPr>
    </w:p>
    <w:p w14:paraId="452B3AE8" w14:textId="4F17B843" w:rsidR="00AA6857" w:rsidRPr="00AA6857" w:rsidRDefault="00AA6857" w:rsidP="00AA6857">
      <w:pPr>
        <w:pStyle w:val="BodyTextIndent"/>
        <w:numPr>
          <w:ilvl w:val="0"/>
          <w:numId w:val="1"/>
        </w:numPr>
      </w:pPr>
      <w:r w:rsidRPr="00AA6857">
        <w:t>IEA, Global Hydrogen Review 2021, report (2021)</w:t>
      </w:r>
    </w:p>
    <w:p w14:paraId="209C9E02" w14:textId="77777777" w:rsidR="0094307E" w:rsidRPr="0094307E" w:rsidRDefault="0094307E" w:rsidP="0094307E">
      <w:pPr>
        <w:pStyle w:val="BodyTextIndent"/>
        <w:numPr>
          <w:ilvl w:val="0"/>
          <w:numId w:val="1"/>
        </w:numPr>
      </w:pPr>
      <w:r w:rsidRPr="0094307E">
        <w:t xml:space="preserve">Kahraman, M. C., Korinek, T., </w:t>
      </w:r>
      <w:proofErr w:type="spellStart"/>
      <w:r w:rsidRPr="0094307E">
        <w:t>Skarohlid</w:t>
      </w:r>
      <w:proofErr w:type="spellEnd"/>
      <w:r w:rsidRPr="0094307E">
        <w:t xml:space="preserve">, J., &amp; Skoda, R. (2025). Numerical and experimental investigation of melting and solidification of molten salt in freeze valve. </w:t>
      </w:r>
      <w:r w:rsidRPr="0094307E">
        <w:rPr>
          <w:i/>
          <w:iCs/>
        </w:rPr>
        <w:t>Applied Thermal Engineering</w:t>
      </w:r>
      <w:r w:rsidRPr="0094307E">
        <w:t xml:space="preserve">, </w:t>
      </w:r>
      <w:r w:rsidRPr="0094307E">
        <w:rPr>
          <w:i/>
          <w:iCs/>
        </w:rPr>
        <w:t>269</w:t>
      </w:r>
      <w:r w:rsidRPr="0094307E">
        <w:t>, 126206. https://doi.org/10.1016/j.applthermaleng.2025.126206</w:t>
      </w:r>
    </w:p>
    <w:p w14:paraId="4420279D" w14:textId="4FE1FC6F" w:rsidR="0094307E" w:rsidRDefault="0094307E">
      <w:pPr>
        <w:pStyle w:val="BodyTextIndent"/>
        <w:numPr>
          <w:ilvl w:val="0"/>
          <w:numId w:val="1"/>
        </w:numPr>
      </w:pPr>
      <w:r w:rsidRPr="0094307E">
        <w:t xml:space="preserve">Kahraman, M. C., &amp; Şentürk </w:t>
      </w:r>
      <w:proofErr w:type="spellStart"/>
      <w:r w:rsidRPr="0094307E">
        <w:t>Lüle</w:t>
      </w:r>
      <w:proofErr w:type="spellEnd"/>
      <w:r w:rsidRPr="0094307E">
        <w:t xml:space="preserve">, S. (2023). Numerical Investigation of </w:t>
      </w:r>
      <w:proofErr w:type="spellStart"/>
      <w:r w:rsidRPr="0094307E">
        <w:t>Behaviour</w:t>
      </w:r>
      <w:proofErr w:type="spellEnd"/>
      <w:r w:rsidRPr="0094307E">
        <w:t xml:space="preserve"> of Small Modular Molten Salt Reactor Freeze Plug Under Various Reactor Operating Conditions. Numerical Heat Transfer, Part A: Applications, 2019, 1–20.</w:t>
      </w:r>
    </w:p>
    <w:p w14:paraId="1E128DE0" w14:textId="700F66B6" w:rsidR="0094307E" w:rsidRPr="0094307E" w:rsidRDefault="0094307E" w:rsidP="0094307E">
      <w:pPr>
        <w:pStyle w:val="BodyTextIndent"/>
        <w:numPr>
          <w:ilvl w:val="0"/>
          <w:numId w:val="1"/>
        </w:numPr>
      </w:pPr>
      <w:r w:rsidRPr="0094307E">
        <w:t xml:space="preserve">J. S. Smith, “Comparison of sulfur-iodine and copper-chlorine,” </w:t>
      </w:r>
      <w:r w:rsidRPr="0094307E">
        <w:rPr>
          <w:i/>
          <w:iCs/>
        </w:rPr>
        <w:t>International Journal of Hydrogen Energy</w:t>
      </w:r>
      <w:r w:rsidRPr="0094307E">
        <w:t>, vol. 35, no. 10, pp. 4820-4830 (2010).</w:t>
      </w:r>
    </w:p>
    <w:p w14:paraId="32C56B14" w14:textId="3FA84C27" w:rsidR="00781B6A" w:rsidRDefault="0094307E">
      <w:pPr>
        <w:pStyle w:val="BodyTextIndent"/>
        <w:numPr>
          <w:ilvl w:val="0"/>
          <w:numId w:val="1"/>
        </w:numPr>
      </w:pPr>
      <w:r w:rsidRPr="0094307E">
        <w:t>WISE Uranium Project, Nuclear Fuel Cycle Costs, website.</w:t>
      </w:r>
    </w:p>
    <w:p w14:paraId="728E736C" w14:textId="6208EAFF" w:rsidR="0094307E" w:rsidRPr="007B0A22" w:rsidRDefault="0094307E">
      <w:pPr>
        <w:pStyle w:val="BodyTextIndent"/>
        <w:numPr>
          <w:ilvl w:val="0"/>
          <w:numId w:val="1"/>
        </w:numPr>
      </w:pPr>
      <w:r w:rsidRPr="0094307E">
        <w:t>Economics and finance of Molten Salt Reactors, Applied Energy, vol. 280, p. 115995 (2020)</w:t>
      </w:r>
    </w:p>
    <w:p w14:paraId="5AA9B10F" w14:textId="77777777" w:rsidR="00781B6A" w:rsidRPr="007B0A22" w:rsidRDefault="00781B6A">
      <w:pPr>
        <w:pStyle w:val="BodyTextIndent"/>
        <w:ind w:firstLine="0"/>
      </w:pPr>
    </w:p>
    <w:p w14:paraId="152DCAF3" w14:textId="77777777" w:rsidR="0094307E" w:rsidRDefault="0094307E" w:rsidP="0094307E">
      <w:pPr>
        <w:pStyle w:val="BodyTextIndent"/>
        <w:ind w:left="360" w:firstLine="0"/>
      </w:pPr>
    </w:p>
    <w:sectPr w:rsidR="0094307E" w:rsidSect="00D964A7">
      <w:footerReference w:type="default" r:id="rId16"/>
      <w:type w:val="continuous"/>
      <w:pgSz w:w="12240" w:h="15840"/>
      <w:pgMar w:top="1440" w:right="1080" w:bottom="1440" w:left="1080" w:header="432" w:footer="720" w:gutter="0"/>
      <w:cols w:num="2" w:space="540" w:equalWidth="0">
        <w:col w:w="4770" w:space="540"/>
        <w:col w:w="47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F0DE" w14:textId="77777777" w:rsidR="00DF3F9C" w:rsidRDefault="00DF3F9C">
      <w:r>
        <w:separator/>
      </w:r>
    </w:p>
  </w:endnote>
  <w:endnote w:type="continuationSeparator" w:id="0">
    <w:p w14:paraId="77A7E62F" w14:textId="77777777" w:rsidR="00DF3F9C" w:rsidRDefault="00DF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BA2D" w14:textId="77777777" w:rsidR="008459EE" w:rsidRDefault="0084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106444"/>
      <w:docPartObj>
        <w:docPartGallery w:val="Page Numbers (Bottom of Page)"/>
        <w:docPartUnique/>
      </w:docPartObj>
    </w:sdtPr>
    <w:sdtEndPr>
      <w:rPr>
        <w:noProof/>
      </w:rPr>
    </w:sdtEndPr>
    <w:sdtContent>
      <w:p w14:paraId="4BAE5E3E" w14:textId="0B93C50F" w:rsidR="00136502" w:rsidRDefault="00136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63B96" w14:textId="77777777" w:rsidR="00781B6A" w:rsidRDefault="00781B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8B4B" w14:textId="77777777" w:rsidR="008459EE" w:rsidRDefault="00845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2AA7" w14:textId="77777777" w:rsidR="00781B6A" w:rsidRDefault="00781B6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8828" w14:textId="77777777" w:rsidR="00DF3F9C" w:rsidRDefault="00DF3F9C">
      <w:r>
        <w:separator/>
      </w:r>
    </w:p>
  </w:footnote>
  <w:footnote w:type="continuationSeparator" w:id="0">
    <w:p w14:paraId="0E0BB3A3" w14:textId="77777777" w:rsidR="00DF3F9C" w:rsidRDefault="00DF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7BB8" w14:textId="77777777" w:rsidR="008459EE" w:rsidRDefault="00845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8A31" w14:textId="61B622CC" w:rsidR="00310711" w:rsidRDefault="00E37DA7" w:rsidP="00310711">
    <w:pPr>
      <w:ind w:right="112"/>
      <w:rPr>
        <w:rFonts w:ascii="Calibri" w:hAnsi="Calibri" w:cs="Calibri"/>
        <w:spacing w:val="-4"/>
        <w:sz w:val="18"/>
        <w:szCs w:val="22"/>
      </w:rPr>
    </w:pPr>
    <w:r>
      <w:rPr>
        <w:rFonts w:ascii="Calibri" w:hAnsi="Calibri" w:cs="Calibri"/>
        <w:noProof/>
        <w:spacing w:val="-4"/>
        <w:sz w:val="18"/>
        <w:szCs w:val="22"/>
      </w:rPr>
      <w:drawing>
        <wp:anchor distT="0" distB="0" distL="114300" distR="114300" simplePos="0" relativeHeight="251658240" behindDoc="0" locked="0" layoutInCell="1" allowOverlap="1" wp14:anchorId="2361E2B9" wp14:editId="749BABF3">
          <wp:simplePos x="0" y="0"/>
          <wp:positionH relativeFrom="column">
            <wp:posOffset>0</wp:posOffset>
          </wp:positionH>
          <wp:positionV relativeFrom="paragraph">
            <wp:posOffset>0</wp:posOffset>
          </wp:positionV>
          <wp:extent cx="2956560" cy="53803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56560" cy="538037"/>
                  </a:xfrm>
                  <a:prstGeom prst="rect">
                    <a:avLst/>
                  </a:prstGeom>
                </pic:spPr>
              </pic:pic>
            </a:graphicData>
          </a:graphic>
        </wp:anchor>
      </w:drawing>
    </w:r>
    <w:r w:rsidR="00310711">
      <w:rPr>
        <w:rFonts w:ascii="Calibri" w:hAnsi="Calibri" w:cs="Calibri"/>
        <w:spacing w:val="-4"/>
        <w:sz w:val="18"/>
        <w:szCs w:val="22"/>
      </w:rPr>
      <w:t xml:space="preserve">                           </w:t>
    </w:r>
  </w:p>
  <w:p w14:paraId="0963291C" w14:textId="0E206B83" w:rsidR="001A7F8D" w:rsidRPr="000B12D5" w:rsidRDefault="00310711" w:rsidP="00310711">
    <w:pPr>
      <w:ind w:left="4320" w:right="112"/>
      <w:jc w:val="right"/>
      <w:rPr>
        <w:rFonts w:asciiTheme="majorBidi" w:hAnsiTheme="majorBidi" w:cstheme="majorBidi"/>
        <w:spacing w:val="-3"/>
        <w:sz w:val="18"/>
        <w:szCs w:val="22"/>
      </w:rPr>
    </w:pPr>
    <w:r>
      <w:rPr>
        <w:rFonts w:ascii="Calibri" w:hAnsi="Calibri" w:cs="Calibri"/>
        <w:spacing w:val="-4"/>
        <w:sz w:val="18"/>
        <w:szCs w:val="22"/>
      </w:rPr>
      <w:t xml:space="preserve">            </w:t>
    </w:r>
    <w:r w:rsidR="001A7F8D" w:rsidRPr="000B12D5">
      <w:rPr>
        <w:rFonts w:asciiTheme="majorBidi" w:hAnsiTheme="majorBidi" w:cstheme="majorBidi"/>
        <w:spacing w:val="-4"/>
        <w:sz w:val="18"/>
        <w:szCs w:val="22"/>
      </w:rPr>
      <w:t xml:space="preserve">Proceedings of </w:t>
    </w:r>
    <w:r w:rsidRPr="000B12D5">
      <w:rPr>
        <w:rFonts w:asciiTheme="majorBidi" w:hAnsiTheme="majorBidi" w:cstheme="majorBidi"/>
        <w:spacing w:val="-3"/>
        <w:sz w:val="18"/>
        <w:szCs w:val="22"/>
      </w:rPr>
      <w:t>SCOPE</w:t>
    </w:r>
  </w:p>
  <w:p w14:paraId="176AE24C" w14:textId="67E37822" w:rsidR="00781B6A" w:rsidRPr="000B12D5" w:rsidRDefault="00310711" w:rsidP="00310711">
    <w:pPr>
      <w:ind w:right="112"/>
      <w:jc w:val="right"/>
      <w:rPr>
        <w:rFonts w:asciiTheme="majorBidi" w:hAnsiTheme="majorBidi" w:cstheme="majorBidi"/>
        <w:sz w:val="18"/>
        <w:szCs w:val="22"/>
      </w:rPr>
    </w:pPr>
    <w:r w:rsidRPr="000B12D5">
      <w:rPr>
        <w:rFonts w:asciiTheme="majorBidi" w:hAnsiTheme="majorBidi" w:cstheme="majorBidi"/>
        <w:spacing w:val="-3"/>
        <w:sz w:val="18"/>
        <w:szCs w:val="22"/>
      </w:rPr>
      <w:t xml:space="preserve">                                                                    </w:t>
    </w:r>
    <w:r w:rsidR="008459EE">
      <w:rPr>
        <w:rFonts w:asciiTheme="majorBidi" w:hAnsiTheme="majorBidi" w:cstheme="majorBidi"/>
        <w:spacing w:val="-3"/>
        <w:sz w:val="18"/>
        <w:szCs w:val="22"/>
      </w:rPr>
      <w:t>2-6,</w:t>
    </w:r>
    <w:r w:rsidR="008459EE">
      <w:rPr>
        <w:rFonts w:asciiTheme="majorBidi" w:hAnsiTheme="majorBidi" w:cstheme="majorBidi"/>
        <w:spacing w:val="-9"/>
        <w:sz w:val="18"/>
        <w:szCs w:val="22"/>
      </w:rPr>
      <w:t xml:space="preserve"> </w:t>
    </w:r>
    <w:r w:rsidRPr="000B12D5">
      <w:rPr>
        <w:rFonts w:asciiTheme="majorBidi" w:hAnsiTheme="majorBidi" w:cstheme="majorBidi"/>
        <w:spacing w:val="-9"/>
        <w:sz w:val="18"/>
        <w:szCs w:val="22"/>
      </w:rPr>
      <w:t>Nov.</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202</w:t>
    </w:r>
    <w:r w:rsidR="008459EE">
      <w:rPr>
        <w:rFonts w:asciiTheme="majorBidi" w:hAnsiTheme="majorBidi" w:cstheme="majorBidi"/>
        <w:spacing w:val="-3"/>
        <w:sz w:val="18"/>
        <w:szCs w:val="22"/>
      </w:rPr>
      <w:t>5</w:t>
    </w:r>
    <w:r w:rsidR="001A7F8D" w:rsidRPr="000B12D5">
      <w:rPr>
        <w:rFonts w:asciiTheme="majorBidi" w:hAnsiTheme="majorBidi" w:cstheme="majorBidi"/>
        <w:spacing w:val="-6"/>
        <w:sz w:val="18"/>
        <w:szCs w:val="22"/>
      </w:rPr>
      <w:t xml:space="preserve"> </w:t>
    </w:r>
    <w:r w:rsidR="001A7F8D" w:rsidRPr="000B12D5">
      <w:rPr>
        <w:rFonts w:asciiTheme="majorBidi" w:hAnsiTheme="majorBidi" w:cstheme="majorBidi"/>
        <w:spacing w:val="-3"/>
        <w:sz w:val="18"/>
        <w:szCs w:val="22"/>
      </w:rPr>
      <w:t>–</w:t>
    </w:r>
    <w:r w:rsidR="001A7F8D" w:rsidRPr="000B12D5">
      <w:rPr>
        <w:rFonts w:asciiTheme="majorBidi" w:hAnsiTheme="majorBidi" w:cstheme="majorBidi"/>
        <w:spacing w:val="-13"/>
        <w:sz w:val="18"/>
        <w:szCs w:val="22"/>
      </w:rPr>
      <w:t xml:space="preserve"> </w:t>
    </w:r>
    <w:r w:rsidRPr="000B12D5">
      <w:rPr>
        <w:rFonts w:asciiTheme="majorBidi" w:hAnsiTheme="majorBidi" w:cstheme="majorBidi"/>
        <w:sz w:val="18"/>
        <w:szCs w:val="22"/>
      </w:rPr>
      <w:t>KFUPM</w:t>
    </w:r>
  </w:p>
  <w:p w14:paraId="7B8603BE" w14:textId="68375B01" w:rsidR="00DE2928" w:rsidRPr="000B12D5" w:rsidRDefault="00DE2928" w:rsidP="00310711">
    <w:pPr>
      <w:ind w:right="112"/>
      <w:jc w:val="right"/>
      <w:rPr>
        <w:rFonts w:asciiTheme="majorBidi" w:hAnsiTheme="majorBidi" w:cstheme="majorBidi"/>
        <w:sz w:val="18"/>
        <w:szCs w:val="22"/>
      </w:rPr>
    </w:pPr>
    <w:r w:rsidRPr="000B12D5">
      <w:rPr>
        <w:rFonts w:asciiTheme="majorBidi" w:hAnsiTheme="majorBidi" w:cstheme="majorBidi"/>
        <w:sz w:val="18"/>
        <w:szCs w:val="22"/>
      </w:rPr>
      <w:t>Paper 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F00B" w14:textId="77777777" w:rsidR="008459EE" w:rsidRDefault="00845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F0E"/>
    <w:multiLevelType w:val="hybridMultilevel"/>
    <w:tmpl w:val="1EB432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1773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3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NewFlag" w:val="Yes"/>
    <w:docVar w:name="CreateASMEToolbarFlag" w:val="-1"/>
    <w:docVar w:name="MarkTerritory" w:val="D:\ASME\proposal\AuthKit\version2\irvine7.doc by Howard Kaikow with template C:\msoffice\Templates\ASME.dot on 02/29/96 at 11:01"/>
    <w:docVar w:name="MarkTerritoryLocal" w:val="Document2 by Howard Kaikow with template C:\msoffice\Templates\ASME.dot on 02/29/96 at 10:39"/>
    <w:docVar w:name="SetStylesFlag" w:val="-1"/>
  </w:docVars>
  <w:rsids>
    <w:rsidRoot w:val="00913B5D"/>
    <w:rsid w:val="00026943"/>
    <w:rsid w:val="00052CFC"/>
    <w:rsid w:val="00064E2D"/>
    <w:rsid w:val="00065AB0"/>
    <w:rsid w:val="000846E7"/>
    <w:rsid w:val="000B12D5"/>
    <w:rsid w:val="00100D5D"/>
    <w:rsid w:val="00102DA5"/>
    <w:rsid w:val="00136502"/>
    <w:rsid w:val="0015418B"/>
    <w:rsid w:val="00162337"/>
    <w:rsid w:val="001A7F8D"/>
    <w:rsid w:val="001F04AA"/>
    <w:rsid w:val="00240349"/>
    <w:rsid w:val="00251BF7"/>
    <w:rsid w:val="0026712E"/>
    <w:rsid w:val="002726E2"/>
    <w:rsid w:val="002A4D97"/>
    <w:rsid w:val="002F06E3"/>
    <w:rsid w:val="00300569"/>
    <w:rsid w:val="00310711"/>
    <w:rsid w:val="00313CCF"/>
    <w:rsid w:val="0037226E"/>
    <w:rsid w:val="003857DC"/>
    <w:rsid w:val="00385F97"/>
    <w:rsid w:val="003903CD"/>
    <w:rsid w:val="003B1751"/>
    <w:rsid w:val="004914F2"/>
    <w:rsid w:val="004A2F64"/>
    <w:rsid w:val="00514AC8"/>
    <w:rsid w:val="00547F17"/>
    <w:rsid w:val="00597468"/>
    <w:rsid w:val="005D37E8"/>
    <w:rsid w:val="005E4871"/>
    <w:rsid w:val="00626278"/>
    <w:rsid w:val="00691B58"/>
    <w:rsid w:val="006948D8"/>
    <w:rsid w:val="006B292F"/>
    <w:rsid w:val="007149F9"/>
    <w:rsid w:val="00781B6A"/>
    <w:rsid w:val="007B0A22"/>
    <w:rsid w:val="008459EE"/>
    <w:rsid w:val="00867316"/>
    <w:rsid w:val="008732A0"/>
    <w:rsid w:val="00890B80"/>
    <w:rsid w:val="00891C89"/>
    <w:rsid w:val="00913B5D"/>
    <w:rsid w:val="0094307E"/>
    <w:rsid w:val="00961716"/>
    <w:rsid w:val="00973F33"/>
    <w:rsid w:val="009B071A"/>
    <w:rsid w:val="009B1138"/>
    <w:rsid w:val="009B55BE"/>
    <w:rsid w:val="00A03C8F"/>
    <w:rsid w:val="00A0476B"/>
    <w:rsid w:val="00A17E6C"/>
    <w:rsid w:val="00A54BC9"/>
    <w:rsid w:val="00A643C1"/>
    <w:rsid w:val="00A73779"/>
    <w:rsid w:val="00AA6857"/>
    <w:rsid w:val="00AB041E"/>
    <w:rsid w:val="00AE2B8F"/>
    <w:rsid w:val="00B029D3"/>
    <w:rsid w:val="00B22151"/>
    <w:rsid w:val="00B90C92"/>
    <w:rsid w:val="00BB3255"/>
    <w:rsid w:val="00BB7497"/>
    <w:rsid w:val="00C13B01"/>
    <w:rsid w:val="00C16186"/>
    <w:rsid w:val="00C26700"/>
    <w:rsid w:val="00C322DD"/>
    <w:rsid w:val="00C6456E"/>
    <w:rsid w:val="00CC6C37"/>
    <w:rsid w:val="00CD10E2"/>
    <w:rsid w:val="00CD18F8"/>
    <w:rsid w:val="00D015D4"/>
    <w:rsid w:val="00D207B0"/>
    <w:rsid w:val="00D532C6"/>
    <w:rsid w:val="00D62789"/>
    <w:rsid w:val="00D77F91"/>
    <w:rsid w:val="00D85CDB"/>
    <w:rsid w:val="00D964A7"/>
    <w:rsid w:val="00DC1BE2"/>
    <w:rsid w:val="00DE2928"/>
    <w:rsid w:val="00DE5D45"/>
    <w:rsid w:val="00DF3F9C"/>
    <w:rsid w:val="00E065A9"/>
    <w:rsid w:val="00E37DA7"/>
    <w:rsid w:val="00E46211"/>
    <w:rsid w:val="00E72B98"/>
    <w:rsid w:val="00E87866"/>
    <w:rsid w:val="00E93F48"/>
    <w:rsid w:val="00F212F3"/>
    <w:rsid w:val="00F34F6E"/>
    <w:rsid w:val="00F47AC2"/>
    <w:rsid w:val="00FE247B"/>
    <w:rsid w:val="00FF09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C1B45"/>
  <w15:docId w15:val="{94E0892D-F0DE-4C00-9A1E-3D67B9A3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A7"/>
    <w:pPr>
      <w:suppressAutoHyphens/>
      <w:jc w:val="both"/>
    </w:pPr>
    <w:rPr>
      <w:kern w:val="14"/>
    </w:rPr>
  </w:style>
  <w:style w:type="paragraph" w:styleId="Heading1">
    <w:name w:val="heading 1"/>
    <w:basedOn w:val="Normal"/>
    <w:next w:val="Normal"/>
    <w:qFormat/>
    <w:rsid w:val="00D964A7"/>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Indent"/>
    <w:rsid w:val="00D964A7"/>
    <w:pPr>
      <w:keepNext/>
    </w:pPr>
    <w:rPr>
      <w:rFonts w:ascii="Arial" w:hAnsi="Arial"/>
      <w:b/>
      <w:caps/>
    </w:rPr>
  </w:style>
  <w:style w:type="paragraph" w:styleId="BodyTextIndent">
    <w:name w:val="Body Text Indent"/>
    <w:basedOn w:val="Normal"/>
    <w:semiHidden/>
    <w:rsid w:val="00D964A7"/>
    <w:pPr>
      <w:ind w:firstLine="360"/>
    </w:pPr>
  </w:style>
  <w:style w:type="paragraph" w:customStyle="1" w:styleId="AcknowledgmentsClauseTitle">
    <w:name w:val="Acknowledgments Clause Title"/>
    <w:basedOn w:val="Normal"/>
    <w:next w:val="BodyTextIndent"/>
    <w:rsid w:val="00D964A7"/>
    <w:pPr>
      <w:keepNext/>
      <w:spacing w:before="240"/>
    </w:pPr>
    <w:rPr>
      <w:rFonts w:ascii="Arial" w:hAnsi="Arial"/>
      <w:b/>
      <w:caps/>
    </w:rPr>
  </w:style>
  <w:style w:type="paragraph" w:customStyle="1" w:styleId="Affiliation">
    <w:name w:val="Affiliation"/>
    <w:basedOn w:val="Normal"/>
    <w:rsid w:val="00D964A7"/>
    <w:pPr>
      <w:jc w:val="center"/>
    </w:pPr>
    <w:rPr>
      <w:rFonts w:ascii="Arial" w:hAnsi="Arial"/>
    </w:rPr>
  </w:style>
  <w:style w:type="paragraph" w:customStyle="1" w:styleId="Author">
    <w:name w:val="Author"/>
    <w:basedOn w:val="Normal"/>
    <w:next w:val="Affiliation"/>
    <w:rsid w:val="00D964A7"/>
    <w:pPr>
      <w:keepNext/>
      <w:jc w:val="center"/>
    </w:pPr>
    <w:rPr>
      <w:rFonts w:ascii="Arial" w:hAnsi="Arial"/>
      <w:b/>
    </w:rPr>
  </w:style>
  <w:style w:type="paragraph" w:customStyle="1" w:styleId="DocumentNumber">
    <w:name w:val="Document Number"/>
    <w:basedOn w:val="Normal"/>
    <w:next w:val="BodyTextIndent"/>
    <w:rsid w:val="00D964A7"/>
    <w:pPr>
      <w:spacing w:before="900"/>
      <w:jc w:val="right"/>
    </w:pPr>
    <w:rPr>
      <w:rFonts w:ascii="Arial" w:hAnsi="Arial"/>
      <w:b/>
      <w:sz w:val="36"/>
    </w:rPr>
  </w:style>
  <w:style w:type="paragraph" w:customStyle="1" w:styleId="EquationNumber">
    <w:name w:val="Equation Number"/>
    <w:basedOn w:val="Normal"/>
    <w:next w:val="BodyTextIndent"/>
    <w:rsid w:val="00D964A7"/>
    <w:pPr>
      <w:jc w:val="right"/>
    </w:pPr>
  </w:style>
  <w:style w:type="paragraph" w:customStyle="1" w:styleId="FigureCaption">
    <w:name w:val="Figure Caption"/>
    <w:basedOn w:val="Normal"/>
    <w:next w:val="BodyTextIndent"/>
    <w:rsid w:val="00D964A7"/>
    <w:pPr>
      <w:jc w:val="center"/>
    </w:pPr>
    <w:rPr>
      <w:rFonts w:ascii="Arial" w:hAnsi="Arial"/>
      <w:b/>
    </w:rPr>
  </w:style>
  <w:style w:type="paragraph" w:styleId="Footer">
    <w:name w:val="footer"/>
    <w:basedOn w:val="Normal"/>
    <w:next w:val="Header"/>
    <w:link w:val="FooterChar"/>
    <w:uiPriority w:val="99"/>
    <w:rsid w:val="00D964A7"/>
    <w:pPr>
      <w:tabs>
        <w:tab w:val="center" w:pos="5760"/>
        <w:tab w:val="right" w:pos="10800"/>
      </w:tabs>
    </w:pPr>
  </w:style>
  <w:style w:type="paragraph" w:styleId="Header">
    <w:name w:val="header"/>
    <w:basedOn w:val="Normal"/>
    <w:next w:val="Footer"/>
    <w:semiHidden/>
    <w:rsid w:val="00D964A7"/>
  </w:style>
  <w:style w:type="paragraph" w:styleId="FootnoteText">
    <w:name w:val="footnote text"/>
    <w:basedOn w:val="Normal"/>
    <w:semiHidden/>
    <w:rsid w:val="00D964A7"/>
    <w:pPr>
      <w:ind w:firstLine="360"/>
    </w:pPr>
    <w:rPr>
      <w:sz w:val="16"/>
    </w:rPr>
  </w:style>
  <w:style w:type="paragraph" w:customStyle="1" w:styleId="NomenclatureClauseTitle">
    <w:name w:val="Nomenclature Clause Title"/>
    <w:basedOn w:val="Normal"/>
    <w:next w:val="BodyTextIndent"/>
    <w:rsid w:val="00D964A7"/>
    <w:pPr>
      <w:keepNext/>
      <w:spacing w:before="240"/>
    </w:pPr>
    <w:rPr>
      <w:rFonts w:ascii="Arial" w:hAnsi="Arial"/>
      <w:b/>
      <w:caps/>
    </w:rPr>
  </w:style>
  <w:style w:type="paragraph" w:customStyle="1" w:styleId="ReferencesClauseTitle">
    <w:name w:val="References Clause Title"/>
    <w:basedOn w:val="Normal"/>
    <w:next w:val="BodyTextIndent"/>
    <w:rsid w:val="00D964A7"/>
    <w:pPr>
      <w:keepNext/>
      <w:spacing w:before="240"/>
    </w:pPr>
    <w:rPr>
      <w:rFonts w:ascii="Arial" w:hAnsi="Arial"/>
      <w:b/>
      <w:caps/>
    </w:rPr>
  </w:style>
  <w:style w:type="paragraph" w:customStyle="1" w:styleId="TableCaption">
    <w:name w:val="Table Caption"/>
    <w:basedOn w:val="Normal"/>
    <w:next w:val="BodyTextIndent"/>
    <w:rsid w:val="00D964A7"/>
    <w:pPr>
      <w:jc w:val="center"/>
    </w:pPr>
    <w:rPr>
      <w:rFonts w:ascii="Arial" w:hAnsi="Arial"/>
      <w:b/>
    </w:rPr>
  </w:style>
  <w:style w:type="paragraph" w:customStyle="1" w:styleId="TextHeading1">
    <w:name w:val="Text Heading 1"/>
    <w:basedOn w:val="Normal"/>
    <w:next w:val="BodyTextIndent"/>
    <w:rsid w:val="00D964A7"/>
    <w:pPr>
      <w:keepNext/>
      <w:spacing w:before="240"/>
    </w:pPr>
    <w:rPr>
      <w:rFonts w:ascii="Arial" w:hAnsi="Arial"/>
      <w:b/>
      <w:caps/>
    </w:rPr>
  </w:style>
  <w:style w:type="paragraph" w:customStyle="1" w:styleId="TextHeading2">
    <w:name w:val="Text Heading 2"/>
    <w:basedOn w:val="Normal"/>
    <w:next w:val="BodyTextIndent"/>
    <w:rsid w:val="00D964A7"/>
    <w:pPr>
      <w:keepNext/>
      <w:spacing w:before="240"/>
    </w:pPr>
    <w:rPr>
      <w:rFonts w:ascii="Arial" w:hAnsi="Arial"/>
      <w:b/>
      <w:u w:val="single"/>
    </w:rPr>
  </w:style>
  <w:style w:type="paragraph" w:customStyle="1" w:styleId="TextHeading3">
    <w:name w:val="Text Heading 3"/>
    <w:basedOn w:val="Normal"/>
    <w:next w:val="BodyTextIndent"/>
    <w:rsid w:val="00D964A7"/>
    <w:pPr>
      <w:spacing w:before="240"/>
      <w:ind w:left="360"/>
    </w:pPr>
    <w:rPr>
      <w:rFonts w:ascii="Arial" w:hAnsi="Arial"/>
      <w:b/>
      <w:u w:val="single"/>
    </w:rPr>
  </w:style>
  <w:style w:type="paragraph" w:styleId="Title">
    <w:name w:val="Title"/>
    <w:basedOn w:val="Normal"/>
    <w:qFormat/>
    <w:rsid w:val="00D964A7"/>
    <w:pPr>
      <w:spacing w:before="760"/>
      <w:jc w:val="center"/>
    </w:pPr>
    <w:rPr>
      <w:rFonts w:ascii="Arial" w:hAnsi="Arial"/>
      <w:b/>
      <w:caps/>
      <w:sz w:val="24"/>
    </w:rPr>
  </w:style>
  <w:style w:type="paragraph" w:styleId="Caption">
    <w:name w:val="caption"/>
    <w:basedOn w:val="Normal"/>
    <w:next w:val="Normal"/>
    <w:qFormat/>
    <w:rsid w:val="00D964A7"/>
    <w:pPr>
      <w:spacing w:before="120" w:after="120"/>
    </w:pPr>
    <w:rPr>
      <w:b/>
    </w:rPr>
  </w:style>
  <w:style w:type="paragraph" w:styleId="BalloonText">
    <w:name w:val="Balloon Text"/>
    <w:basedOn w:val="Normal"/>
    <w:link w:val="BalloonTextChar"/>
    <w:uiPriority w:val="99"/>
    <w:semiHidden/>
    <w:unhideWhenUsed/>
    <w:rsid w:val="00C322DD"/>
    <w:rPr>
      <w:rFonts w:ascii="Tahoma" w:hAnsi="Tahoma" w:cs="Tahoma"/>
      <w:sz w:val="16"/>
      <w:szCs w:val="16"/>
    </w:rPr>
  </w:style>
  <w:style w:type="character" w:customStyle="1" w:styleId="BalloonTextChar">
    <w:name w:val="Balloon Text Char"/>
    <w:basedOn w:val="DefaultParagraphFont"/>
    <w:link w:val="BalloonText"/>
    <w:uiPriority w:val="99"/>
    <w:semiHidden/>
    <w:rsid w:val="00C322DD"/>
    <w:rPr>
      <w:rFonts w:ascii="Tahoma" w:hAnsi="Tahoma" w:cs="Tahoma"/>
      <w:kern w:val="14"/>
      <w:sz w:val="16"/>
      <w:szCs w:val="16"/>
    </w:rPr>
  </w:style>
  <w:style w:type="character" w:styleId="CommentReference">
    <w:name w:val="annotation reference"/>
    <w:basedOn w:val="DefaultParagraphFont"/>
    <w:uiPriority w:val="99"/>
    <w:semiHidden/>
    <w:unhideWhenUsed/>
    <w:rsid w:val="00D532C6"/>
    <w:rPr>
      <w:sz w:val="16"/>
      <w:szCs w:val="16"/>
    </w:rPr>
  </w:style>
  <w:style w:type="paragraph" w:styleId="CommentText">
    <w:name w:val="annotation text"/>
    <w:basedOn w:val="Normal"/>
    <w:link w:val="CommentTextChar"/>
    <w:uiPriority w:val="99"/>
    <w:unhideWhenUsed/>
    <w:rsid w:val="00D532C6"/>
  </w:style>
  <w:style w:type="character" w:customStyle="1" w:styleId="CommentTextChar">
    <w:name w:val="Comment Text Char"/>
    <w:basedOn w:val="DefaultParagraphFont"/>
    <w:link w:val="CommentText"/>
    <w:uiPriority w:val="99"/>
    <w:rsid w:val="00D532C6"/>
    <w:rPr>
      <w:kern w:val="14"/>
    </w:rPr>
  </w:style>
  <w:style w:type="paragraph" w:styleId="CommentSubject">
    <w:name w:val="annotation subject"/>
    <w:basedOn w:val="CommentText"/>
    <w:next w:val="CommentText"/>
    <w:link w:val="CommentSubjectChar"/>
    <w:uiPriority w:val="99"/>
    <w:semiHidden/>
    <w:unhideWhenUsed/>
    <w:rsid w:val="00D532C6"/>
    <w:rPr>
      <w:b/>
      <w:bCs/>
    </w:rPr>
  </w:style>
  <w:style w:type="character" w:customStyle="1" w:styleId="CommentSubjectChar">
    <w:name w:val="Comment Subject Char"/>
    <w:basedOn w:val="CommentTextChar"/>
    <w:link w:val="CommentSubject"/>
    <w:uiPriority w:val="99"/>
    <w:semiHidden/>
    <w:rsid w:val="00D532C6"/>
    <w:rPr>
      <w:b/>
      <w:bCs/>
      <w:kern w:val="14"/>
    </w:rPr>
  </w:style>
  <w:style w:type="paragraph" w:styleId="Revision">
    <w:name w:val="Revision"/>
    <w:hidden/>
    <w:uiPriority w:val="99"/>
    <w:semiHidden/>
    <w:rsid w:val="00F212F3"/>
    <w:rPr>
      <w:kern w:val="14"/>
    </w:rPr>
  </w:style>
  <w:style w:type="character" w:customStyle="1" w:styleId="FooterChar">
    <w:name w:val="Footer Char"/>
    <w:basedOn w:val="DefaultParagraphFont"/>
    <w:link w:val="Footer"/>
    <w:uiPriority w:val="99"/>
    <w:rsid w:val="00136502"/>
    <w:rPr>
      <w:kern w:val="14"/>
    </w:rPr>
  </w:style>
  <w:style w:type="paragraph" w:styleId="NormalWeb">
    <w:name w:val="Normal (Web)"/>
    <w:basedOn w:val="Normal"/>
    <w:uiPriority w:val="99"/>
    <w:semiHidden/>
    <w:unhideWhenUsed/>
    <w:rsid w:val="00691B58"/>
    <w:rPr>
      <w:sz w:val="24"/>
      <w:szCs w:val="24"/>
    </w:rPr>
  </w:style>
  <w:style w:type="paragraph" w:styleId="ListParagraph">
    <w:name w:val="List Paragraph"/>
    <w:basedOn w:val="Normal"/>
    <w:uiPriority w:val="34"/>
    <w:qFormat/>
    <w:rsid w:val="00943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2712">
      <w:bodyDiv w:val="1"/>
      <w:marLeft w:val="0"/>
      <w:marRight w:val="0"/>
      <w:marTop w:val="0"/>
      <w:marBottom w:val="0"/>
      <w:divBdr>
        <w:top w:val="none" w:sz="0" w:space="0" w:color="auto"/>
        <w:left w:val="none" w:sz="0" w:space="0" w:color="auto"/>
        <w:bottom w:val="none" w:sz="0" w:space="0" w:color="auto"/>
        <w:right w:val="none" w:sz="0" w:space="0" w:color="auto"/>
      </w:divBdr>
    </w:div>
    <w:div w:id="125781673">
      <w:bodyDiv w:val="1"/>
      <w:marLeft w:val="0"/>
      <w:marRight w:val="0"/>
      <w:marTop w:val="0"/>
      <w:marBottom w:val="0"/>
      <w:divBdr>
        <w:top w:val="none" w:sz="0" w:space="0" w:color="auto"/>
        <w:left w:val="none" w:sz="0" w:space="0" w:color="auto"/>
        <w:bottom w:val="none" w:sz="0" w:space="0" w:color="auto"/>
        <w:right w:val="none" w:sz="0" w:space="0" w:color="auto"/>
      </w:divBdr>
    </w:div>
    <w:div w:id="139461902">
      <w:bodyDiv w:val="1"/>
      <w:marLeft w:val="0"/>
      <w:marRight w:val="0"/>
      <w:marTop w:val="0"/>
      <w:marBottom w:val="0"/>
      <w:divBdr>
        <w:top w:val="none" w:sz="0" w:space="0" w:color="auto"/>
        <w:left w:val="none" w:sz="0" w:space="0" w:color="auto"/>
        <w:bottom w:val="none" w:sz="0" w:space="0" w:color="auto"/>
        <w:right w:val="none" w:sz="0" w:space="0" w:color="auto"/>
      </w:divBdr>
    </w:div>
    <w:div w:id="143856611">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
    <w:div w:id="226110544">
      <w:bodyDiv w:val="1"/>
      <w:marLeft w:val="0"/>
      <w:marRight w:val="0"/>
      <w:marTop w:val="0"/>
      <w:marBottom w:val="0"/>
      <w:divBdr>
        <w:top w:val="none" w:sz="0" w:space="0" w:color="auto"/>
        <w:left w:val="none" w:sz="0" w:space="0" w:color="auto"/>
        <w:bottom w:val="none" w:sz="0" w:space="0" w:color="auto"/>
        <w:right w:val="none" w:sz="0" w:space="0" w:color="auto"/>
      </w:divBdr>
    </w:div>
    <w:div w:id="256518599">
      <w:bodyDiv w:val="1"/>
      <w:marLeft w:val="0"/>
      <w:marRight w:val="0"/>
      <w:marTop w:val="0"/>
      <w:marBottom w:val="0"/>
      <w:divBdr>
        <w:top w:val="none" w:sz="0" w:space="0" w:color="auto"/>
        <w:left w:val="none" w:sz="0" w:space="0" w:color="auto"/>
        <w:bottom w:val="none" w:sz="0" w:space="0" w:color="auto"/>
        <w:right w:val="none" w:sz="0" w:space="0" w:color="auto"/>
      </w:divBdr>
    </w:div>
    <w:div w:id="272593457">
      <w:bodyDiv w:val="1"/>
      <w:marLeft w:val="0"/>
      <w:marRight w:val="0"/>
      <w:marTop w:val="0"/>
      <w:marBottom w:val="0"/>
      <w:divBdr>
        <w:top w:val="none" w:sz="0" w:space="0" w:color="auto"/>
        <w:left w:val="none" w:sz="0" w:space="0" w:color="auto"/>
        <w:bottom w:val="none" w:sz="0" w:space="0" w:color="auto"/>
        <w:right w:val="none" w:sz="0" w:space="0" w:color="auto"/>
      </w:divBdr>
    </w:div>
    <w:div w:id="313335366">
      <w:bodyDiv w:val="1"/>
      <w:marLeft w:val="0"/>
      <w:marRight w:val="0"/>
      <w:marTop w:val="0"/>
      <w:marBottom w:val="0"/>
      <w:divBdr>
        <w:top w:val="none" w:sz="0" w:space="0" w:color="auto"/>
        <w:left w:val="none" w:sz="0" w:space="0" w:color="auto"/>
        <w:bottom w:val="none" w:sz="0" w:space="0" w:color="auto"/>
        <w:right w:val="none" w:sz="0" w:space="0" w:color="auto"/>
      </w:divBdr>
    </w:div>
    <w:div w:id="376206595">
      <w:bodyDiv w:val="1"/>
      <w:marLeft w:val="0"/>
      <w:marRight w:val="0"/>
      <w:marTop w:val="0"/>
      <w:marBottom w:val="0"/>
      <w:divBdr>
        <w:top w:val="none" w:sz="0" w:space="0" w:color="auto"/>
        <w:left w:val="none" w:sz="0" w:space="0" w:color="auto"/>
        <w:bottom w:val="none" w:sz="0" w:space="0" w:color="auto"/>
        <w:right w:val="none" w:sz="0" w:space="0" w:color="auto"/>
      </w:divBdr>
    </w:div>
    <w:div w:id="460267593">
      <w:bodyDiv w:val="1"/>
      <w:marLeft w:val="0"/>
      <w:marRight w:val="0"/>
      <w:marTop w:val="0"/>
      <w:marBottom w:val="0"/>
      <w:divBdr>
        <w:top w:val="none" w:sz="0" w:space="0" w:color="auto"/>
        <w:left w:val="none" w:sz="0" w:space="0" w:color="auto"/>
        <w:bottom w:val="none" w:sz="0" w:space="0" w:color="auto"/>
        <w:right w:val="none" w:sz="0" w:space="0" w:color="auto"/>
      </w:divBdr>
    </w:div>
    <w:div w:id="477263903">
      <w:bodyDiv w:val="1"/>
      <w:marLeft w:val="0"/>
      <w:marRight w:val="0"/>
      <w:marTop w:val="0"/>
      <w:marBottom w:val="0"/>
      <w:divBdr>
        <w:top w:val="none" w:sz="0" w:space="0" w:color="auto"/>
        <w:left w:val="none" w:sz="0" w:space="0" w:color="auto"/>
        <w:bottom w:val="none" w:sz="0" w:space="0" w:color="auto"/>
        <w:right w:val="none" w:sz="0" w:space="0" w:color="auto"/>
      </w:divBdr>
    </w:div>
    <w:div w:id="534536507">
      <w:bodyDiv w:val="1"/>
      <w:marLeft w:val="0"/>
      <w:marRight w:val="0"/>
      <w:marTop w:val="0"/>
      <w:marBottom w:val="0"/>
      <w:divBdr>
        <w:top w:val="none" w:sz="0" w:space="0" w:color="auto"/>
        <w:left w:val="none" w:sz="0" w:space="0" w:color="auto"/>
        <w:bottom w:val="none" w:sz="0" w:space="0" w:color="auto"/>
        <w:right w:val="none" w:sz="0" w:space="0" w:color="auto"/>
      </w:divBdr>
    </w:div>
    <w:div w:id="549734877">
      <w:bodyDiv w:val="1"/>
      <w:marLeft w:val="0"/>
      <w:marRight w:val="0"/>
      <w:marTop w:val="0"/>
      <w:marBottom w:val="0"/>
      <w:divBdr>
        <w:top w:val="none" w:sz="0" w:space="0" w:color="auto"/>
        <w:left w:val="none" w:sz="0" w:space="0" w:color="auto"/>
        <w:bottom w:val="none" w:sz="0" w:space="0" w:color="auto"/>
        <w:right w:val="none" w:sz="0" w:space="0" w:color="auto"/>
      </w:divBdr>
    </w:div>
    <w:div w:id="560019716">
      <w:bodyDiv w:val="1"/>
      <w:marLeft w:val="0"/>
      <w:marRight w:val="0"/>
      <w:marTop w:val="0"/>
      <w:marBottom w:val="0"/>
      <w:divBdr>
        <w:top w:val="none" w:sz="0" w:space="0" w:color="auto"/>
        <w:left w:val="none" w:sz="0" w:space="0" w:color="auto"/>
        <w:bottom w:val="none" w:sz="0" w:space="0" w:color="auto"/>
        <w:right w:val="none" w:sz="0" w:space="0" w:color="auto"/>
      </w:divBdr>
      <w:divsChild>
        <w:div w:id="1743941197">
          <w:marLeft w:val="0"/>
          <w:marRight w:val="0"/>
          <w:marTop w:val="0"/>
          <w:marBottom w:val="0"/>
          <w:divBdr>
            <w:top w:val="none" w:sz="0" w:space="0" w:color="auto"/>
            <w:left w:val="none" w:sz="0" w:space="0" w:color="auto"/>
            <w:bottom w:val="none" w:sz="0" w:space="0" w:color="auto"/>
            <w:right w:val="none" w:sz="0" w:space="0" w:color="auto"/>
          </w:divBdr>
        </w:div>
      </w:divsChild>
    </w:div>
    <w:div w:id="629631236">
      <w:bodyDiv w:val="1"/>
      <w:marLeft w:val="0"/>
      <w:marRight w:val="0"/>
      <w:marTop w:val="0"/>
      <w:marBottom w:val="0"/>
      <w:divBdr>
        <w:top w:val="none" w:sz="0" w:space="0" w:color="auto"/>
        <w:left w:val="none" w:sz="0" w:space="0" w:color="auto"/>
        <w:bottom w:val="none" w:sz="0" w:space="0" w:color="auto"/>
        <w:right w:val="none" w:sz="0" w:space="0" w:color="auto"/>
      </w:divBdr>
      <w:divsChild>
        <w:div w:id="1958827058">
          <w:marLeft w:val="0"/>
          <w:marRight w:val="0"/>
          <w:marTop w:val="0"/>
          <w:marBottom w:val="0"/>
          <w:divBdr>
            <w:top w:val="none" w:sz="0" w:space="0" w:color="auto"/>
            <w:left w:val="none" w:sz="0" w:space="0" w:color="auto"/>
            <w:bottom w:val="none" w:sz="0" w:space="0" w:color="auto"/>
            <w:right w:val="none" w:sz="0" w:space="0" w:color="auto"/>
          </w:divBdr>
        </w:div>
      </w:divsChild>
    </w:div>
    <w:div w:id="705907298">
      <w:bodyDiv w:val="1"/>
      <w:marLeft w:val="0"/>
      <w:marRight w:val="0"/>
      <w:marTop w:val="0"/>
      <w:marBottom w:val="0"/>
      <w:divBdr>
        <w:top w:val="none" w:sz="0" w:space="0" w:color="auto"/>
        <w:left w:val="none" w:sz="0" w:space="0" w:color="auto"/>
        <w:bottom w:val="none" w:sz="0" w:space="0" w:color="auto"/>
        <w:right w:val="none" w:sz="0" w:space="0" w:color="auto"/>
      </w:divBdr>
    </w:div>
    <w:div w:id="707025112">
      <w:bodyDiv w:val="1"/>
      <w:marLeft w:val="0"/>
      <w:marRight w:val="0"/>
      <w:marTop w:val="0"/>
      <w:marBottom w:val="0"/>
      <w:divBdr>
        <w:top w:val="none" w:sz="0" w:space="0" w:color="auto"/>
        <w:left w:val="none" w:sz="0" w:space="0" w:color="auto"/>
        <w:bottom w:val="none" w:sz="0" w:space="0" w:color="auto"/>
        <w:right w:val="none" w:sz="0" w:space="0" w:color="auto"/>
      </w:divBdr>
    </w:div>
    <w:div w:id="731124897">
      <w:bodyDiv w:val="1"/>
      <w:marLeft w:val="0"/>
      <w:marRight w:val="0"/>
      <w:marTop w:val="0"/>
      <w:marBottom w:val="0"/>
      <w:divBdr>
        <w:top w:val="none" w:sz="0" w:space="0" w:color="auto"/>
        <w:left w:val="none" w:sz="0" w:space="0" w:color="auto"/>
        <w:bottom w:val="none" w:sz="0" w:space="0" w:color="auto"/>
        <w:right w:val="none" w:sz="0" w:space="0" w:color="auto"/>
      </w:divBdr>
    </w:div>
    <w:div w:id="757942902">
      <w:bodyDiv w:val="1"/>
      <w:marLeft w:val="0"/>
      <w:marRight w:val="0"/>
      <w:marTop w:val="0"/>
      <w:marBottom w:val="0"/>
      <w:divBdr>
        <w:top w:val="none" w:sz="0" w:space="0" w:color="auto"/>
        <w:left w:val="none" w:sz="0" w:space="0" w:color="auto"/>
        <w:bottom w:val="none" w:sz="0" w:space="0" w:color="auto"/>
        <w:right w:val="none" w:sz="0" w:space="0" w:color="auto"/>
      </w:divBdr>
    </w:div>
    <w:div w:id="833955360">
      <w:bodyDiv w:val="1"/>
      <w:marLeft w:val="0"/>
      <w:marRight w:val="0"/>
      <w:marTop w:val="0"/>
      <w:marBottom w:val="0"/>
      <w:divBdr>
        <w:top w:val="none" w:sz="0" w:space="0" w:color="auto"/>
        <w:left w:val="none" w:sz="0" w:space="0" w:color="auto"/>
        <w:bottom w:val="none" w:sz="0" w:space="0" w:color="auto"/>
        <w:right w:val="none" w:sz="0" w:space="0" w:color="auto"/>
      </w:divBdr>
      <w:divsChild>
        <w:div w:id="1139036934">
          <w:marLeft w:val="0"/>
          <w:marRight w:val="0"/>
          <w:marTop w:val="0"/>
          <w:marBottom w:val="0"/>
          <w:divBdr>
            <w:top w:val="none" w:sz="0" w:space="0" w:color="auto"/>
            <w:left w:val="none" w:sz="0" w:space="0" w:color="auto"/>
            <w:bottom w:val="none" w:sz="0" w:space="0" w:color="auto"/>
            <w:right w:val="none" w:sz="0" w:space="0" w:color="auto"/>
          </w:divBdr>
        </w:div>
      </w:divsChild>
    </w:div>
    <w:div w:id="842431510">
      <w:bodyDiv w:val="1"/>
      <w:marLeft w:val="0"/>
      <w:marRight w:val="0"/>
      <w:marTop w:val="0"/>
      <w:marBottom w:val="0"/>
      <w:divBdr>
        <w:top w:val="none" w:sz="0" w:space="0" w:color="auto"/>
        <w:left w:val="none" w:sz="0" w:space="0" w:color="auto"/>
        <w:bottom w:val="none" w:sz="0" w:space="0" w:color="auto"/>
        <w:right w:val="none" w:sz="0" w:space="0" w:color="auto"/>
      </w:divBdr>
    </w:div>
    <w:div w:id="938484850">
      <w:bodyDiv w:val="1"/>
      <w:marLeft w:val="0"/>
      <w:marRight w:val="0"/>
      <w:marTop w:val="0"/>
      <w:marBottom w:val="0"/>
      <w:divBdr>
        <w:top w:val="none" w:sz="0" w:space="0" w:color="auto"/>
        <w:left w:val="none" w:sz="0" w:space="0" w:color="auto"/>
        <w:bottom w:val="none" w:sz="0" w:space="0" w:color="auto"/>
        <w:right w:val="none" w:sz="0" w:space="0" w:color="auto"/>
      </w:divBdr>
    </w:div>
    <w:div w:id="973947980">
      <w:bodyDiv w:val="1"/>
      <w:marLeft w:val="0"/>
      <w:marRight w:val="0"/>
      <w:marTop w:val="0"/>
      <w:marBottom w:val="0"/>
      <w:divBdr>
        <w:top w:val="none" w:sz="0" w:space="0" w:color="auto"/>
        <w:left w:val="none" w:sz="0" w:space="0" w:color="auto"/>
        <w:bottom w:val="none" w:sz="0" w:space="0" w:color="auto"/>
        <w:right w:val="none" w:sz="0" w:space="0" w:color="auto"/>
      </w:divBdr>
    </w:div>
    <w:div w:id="1016006924">
      <w:bodyDiv w:val="1"/>
      <w:marLeft w:val="0"/>
      <w:marRight w:val="0"/>
      <w:marTop w:val="0"/>
      <w:marBottom w:val="0"/>
      <w:divBdr>
        <w:top w:val="none" w:sz="0" w:space="0" w:color="auto"/>
        <w:left w:val="none" w:sz="0" w:space="0" w:color="auto"/>
        <w:bottom w:val="none" w:sz="0" w:space="0" w:color="auto"/>
        <w:right w:val="none" w:sz="0" w:space="0" w:color="auto"/>
      </w:divBdr>
    </w:div>
    <w:div w:id="1024403715">
      <w:bodyDiv w:val="1"/>
      <w:marLeft w:val="0"/>
      <w:marRight w:val="0"/>
      <w:marTop w:val="0"/>
      <w:marBottom w:val="0"/>
      <w:divBdr>
        <w:top w:val="none" w:sz="0" w:space="0" w:color="auto"/>
        <w:left w:val="none" w:sz="0" w:space="0" w:color="auto"/>
        <w:bottom w:val="none" w:sz="0" w:space="0" w:color="auto"/>
        <w:right w:val="none" w:sz="0" w:space="0" w:color="auto"/>
      </w:divBdr>
    </w:div>
    <w:div w:id="1156409852">
      <w:bodyDiv w:val="1"/>
      <w:marLeft w:val="0"/>
      <w:marRight w:val="0"/>
      <w:marTop w:val="0"/>
      <w:marBottom w:val="0"/>
      <w:divBdr>
        <w:top w:val="none" w:sz="0" w:space="0" w:color="auto"/>
        <w:left w:val="none" w:sz="0" w:space="0" w:color="auto"/>
        <w:bottom w:val="none" w:sz="0" w:space="0" w:color="auto"/>
        <w:right w:val="none" w:sz="0" w:space="0" w:color="auto"/>
      </w:divBdr>
    </w:div>
    <w:div w:id="1192721994">
      <w:bodyDiv w:val="1"/>
      <w:marLeft w:val="0"/>
      <w:marRight w:val="0"/>
      <w:marTop w:val="0"/>
      <w:marBottom w:val="0"/>
      <w:divBdr>
        <w:top w:val="none" w:sz="0" w:space="0" w:color="auto"/>
        <w:left w:val="none" w:sz="0" w:space="0" w:color="auto"/>
        <w:bottom w:val="none" w:sz="0" w:space="0" w:color="auto"/>
        <w:right w:val="none" w:sz="0" w:space="0" w:color="auto"/>
      </w:divBdr>
    </w:div>
    <w:div w:id="1256595749">
      <w:bodyDiv w:val="1"/>
      <w:marLeft w:val="0"/>
      <w:marRight w:val="0"/>
      <w:marTop w:val="0"/>
      <w:marBottom w:val="0"/>
      <w:divBdr>
        <w:top w:val="none" w:sz="0" w:space="0" w:color="auto"/>
        <w:left w:val="none" w:sz="0" w:space="0" w:color="auto"/>
        <w:bottom w:val="none" w:sz="0" w:space="0" w:color="auto"/>
        <w:right w:val="none" w:sz="0" w:space="0" w:color="auto"/>
      </w:divBdr>
    </w:div>
    <w:div w:id="1266574456">
      <w:bodyDiv w:val="1"/>
      <w:marLeft w:val="0"/>
      <w:marRight w:val="0"/>
      <w:marTop w:val="0"/>
      <w:marBottom w:val="0"/>
      <w:divBdr>
        <w:top w:val="none" w:sz="0" w:space="0" w:color="auto"/>
        <w:left w:val="none" w:sz="0" w:space="0" w:color="auto"/>
        <w:bottom w:val="none" w:sz="0" w:space="0" w:color="auto"/>
        <w:right w:val="none" w:sz="0" w:space="0" w:color="auto"/>
      </w:divBdr>
    </w:div>
    <w:div w:id="1300573030">
      <w:bodyDiv w:val="1"/>
      <w:marLeft w:val="0"/>
      <w:marRight w:val="0"/>
      <w:marTop w:val="0"/>
      <w:marBottom w:val="0"/>
      <w:divBdr>
        <w:top w:val="none" w:sz="0" w:space="0" w:color="auto"/>
        <w:left w:val="none" w:sz="0" w:space="0" w:color="auto"/>
        <w:bottom w:val="none" w:sz="0" w:space="0" w:color="auto"/>
        <w:right w:val="none" w:sz="0" w:space="0" w:color="auto"/>
      </w:divBdr>
    </w:div>
    <w:div w:id="1313364016">
      <w:bodyDiv w:val="1"/>
      <w:marLeft w:val="0"/>
      <w:marRight w:val="0"/>
      <w:marTop w:val="0"/>
      <w:marBottom w:val="0"/>
      <w:divBdr>
        <w:top w:val="none" w:sz="0" w:space="0" w:color="auto"/>
        <w:left w:val="none" w:sz="0" w:space="0" w:color="auto"/>
        <w:bottom w:val="none" w:sz="0" w:space="0" w:color="auto"/>
        <w:right w:val="none" w:sz="0" w:space="0" w:color="auto"/>
      </w:divBdr>
    </w:div>
    <w:div w:id="1340893439">
      <w:bodyDiv w:val="1"/>
      <w:marLeft w:val="0"/>
      <w:marRight w:val="0"/>
      <w:marTop w:val="0"/>
      <w:marBottom w:val="0"/>
      <w:divBdr>
        <w:top w:val="none" w:sz="0" w:space="0" w:color="auto"/>
        <w:left w:val="none" w:sz="0" w:space="0" w:color="auto"/>
        <w:bottom w:val="none" w:sz="0" w:space="0" w:color="auto"/>
        <w:right w:val="none" w:sz="0" w:space="0" w:color="auto"/>
      </w:divBdr>
    </w:div>
    <w:div w:id="1405955582">
      <w:bodyDiv w:val="1"/>
      <w:marLeft w:val="0"/>
      <w:marRight w:val="0"/>
      <w:marTop w:val="0"/>
      <w:marBottom w:val="0"/>
      <w:divBdr>
        <w:top w:val="none" w:sz="0" w:space="0" w:color="auto"/>
        <w:left w:val="none" w:sz="0" w:space="0" w:color="auto"/>
        <w:bottom w:val="none" w:sz="0" w:space="0" w:color="auto"/>
        <w:right w:val="none" w:sz="0" w:space="0" w:color="auto"/>
      </w:divBdr>
    </w:div>
    <w:div w:id="1486820942">
      <w:bodyDiv w:val="1"/>
      <w:marLeft w:val="0"/>
      <w:marRight w:val="0"/>
      <w:marTop w:val="0"/>
      <w:marBottom w:val="0"/>
      <w:divBdr>
        <w:top w:val="none" w:sz="0" w:space="0" w:color="auto"/>
        <w:left w:val="none" w:sz="0" w:space="0" w:color="auto"/>
        <w:bottom w:val="none" w:sz="0" w:space="0" w:color="auto"/>
        <w:right w:val="none" w:sz="0" w:space="0" w:color="auto"/>
      </w:divBdr>
    </w:div>
    <w:div w:id="1758866031">
      <w:bodyDiv w:val="1"/>
      <w:marLeft w:val="0"/>
      <w:marRight w:val="0"/>
      <w:marTop w:val="0"/>
      <w:marBottom w:val="0"/>
      <w:divBdr>
        <w:top w:val="none" w:sz="0" w:space="0" w:color="auto"/>
        <w:left w:val="none" w:sz="0" w:space="0" w:color="auto"/>
        <w:bottom w:val="none" w:sz="0" w:space="0" w:color="auto"/>
        <w:right w:val="none" w:sz="0" w:space="0" w:color="auto"/>
      </w:divBdr>
    </w:div>
    <w:div w:id="1826822836">
      <w:bodyDiv w:val="1"/>
      <w:marLeft w:val="0"/>
      <w:marRight w:val="0"/>
      <w:marTop w:val="0"/>
      <w:marBottom w:val="0"/>
      <w:divBdr>
        <w:top w:val="none" w:sz="0" w:space="0" w:color="auto"/>
        <w:left w:val="none" w:sz="0" w:space="0" w:color="auto"/>
        <w:bottom w:val="none" w:sz="0" w:space="0" w:color="auto"/>
        <w:right w:val="none" w:sz="0" w:space="0" w:color="auto"/>
      </w:divBdr>
    </w:div>
    <w:div w:id="1861623394">
      <w:bodyDiv w:val="1"/>
      <w:marLeft w:val="0"/>
      <w:marRight w:val="0"/>
      <w:marTop w:val="0"/>
      <w:marBottom w:val="0"/>
      <w:divBdr>
        <w:top w:val="none" w:sz="0" w:space="0" w:color="auto"/>
        <w:left w:val="none" w:sz="0" w:space="0" w:color="auto"/>
        <w:bottom w:val="none" w:sz="0" w:space="0" w:color="auto"/>
        <w:right w:val="none" w:sz="0" w:space="0" w:color="auto"/>
      </w:divBdr>
    </w:div>
    <w:div w:id="1865359016">
      <w:bodyDiv w:val="1"/>
      <w:marLeft w:val="0"/>
      <w:marRight w:val="0"/>
      <w:marTop w:val="0"/>
      <w:marBottom w:val="0"/>
      <w:divBdr>
        <w:top w:val="none" w:sz="0" w:space="0" w:color="auto"/>
        <w:left w:val="none" w:sz="0" w:space="0" w:color="auto"/>
        <w:bottom w:val="none" w:sz="0" w:space="0" w:color="auto"/>
        <w:right w:val="none" w:sz="0" w:space="0" w:color="auto"/>
      </w:divBdr>
    </w:div>
    <w:div w:id="1897010717">
      <w:bodyDiv w:val="1"/>
      <w:marLeft w:val="0"/>
      <w:marRight w:val="0"/>
      <w:marTop w:val="0"/>
      <w:marBottom w:val="0"/>
      <w:divBdr>
        <w:top w:val="none" w:sz="0" w:space="0" w:color="auto"/>
        <w:left w:val="none" w:sz="0" w:space="0" w:color="auto"/>
        <w:bottom w:val="none" w:sz="0" w:space="0" w:color="auto"/>
        <w:right w:val="none" w:sz="0" w:space="0" w:color="auto"/>
      </w:divBdr>
    </w:div>
    <w:div w:id="1936551321">
      <w:bodyDiv w:val="1"/>
      <w:marLeft w:val="0"/>
      <w:marRight w:val="0"/>
      <w:marTop w:val="0"/>
      <w:marBottom w:val="0"/>
      <w:divBdr>
        <w:top w:val="none" w:sz="0" w:space="0" w:color="auto"/>
        <w:left w:val="none" w:sz="0" w:space="0" w:color="auto"/>
        <w:bottom w:val="none" w:sz="0" w:space="0" w:color="auto"/>
        <w:right w:val="none" w:sz="0" w:space="0" w:color="auto"/>
      </w:divBdr>
    </w:div>
    <w:div w:id="1948386104">
      <w:bodyDiv w:val="1"/>
      <w:marLeft w:val="0"/>
      <w:marRight w:val="0"/>
      <w:marTop w:val="0"/>
      <w:marBottom w:val="0"/>
      <w:divBdr>
        <w:top w:val="none" w:sz="0" w:space="0" w:color="auto"/>
        <w:left w:val="none" w:sz="0" w:space="0" w:color="auto"/>
        <w:bottom w:val="none" w:sz="0" w:space="0" w:color="auto"/>
        <w:right w:val="none" w:sz="0" w:space="0" w:color="auto"/>
      </w:divBdr>
    </w:div>
    <w:div w:id="2052992411">
      <w:bodyDiv w:val="1"/>
      <w:marLeft w:val="0"/>
      <w:marRight w:val="0"/>
      <w:marTop w:val="0"/>
      <w:marBottom w:val="0"/>
      <w:divBdr>
        <w:top w:val="none" w:sz="0" w:space="0" w:color="auto"/>
        <w:left w:val="none" w:sz="0" w:space="0" w:color="auto"/>
        <w:bottom w:val="none" w:sz="0" w:space="0" w:color="auto"/>
        <w:right w:val="none" w:sz="0" w:space="0" w:color="auto"/>
      </w:divBdr>
    </w:div>
    <w:div w:id="2102987653">
      <w:bodyDiv w:val="1"/>
      <w:marLeft w:val="0"/>
      <w:marRight w:val="0"/>
      <w:marTop w:val="0"/>
      <w:marBottom w:val="0"/>
      <w:divBdr>
        <w:top w:val="none" w:sz="0" w:space="0" w:color="auto"/>
        <w:left w:val="none" w:sz="0" w:space="0" w:color="auto"/>
        <w:bottom w:val="none" w:sz="0" w:space="0" w:color="auto"/>
        <w:right w:val="none" w:sz="0" w:space="0" w:color="auto"/>
      </w:divBdr>
    </w:div>
    <w:div w:id="21266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14C98925BF85344080E7DD80A13A1C82" ma:contentTypeVersion="16" ma:contentTypeDescription="새 문서를 만듭니다." ma:contentTypeScope="" ma:versionID="c5da32ffbb99c4243afbd5b38aee955f">
  <xsd:schema xmlns:xsd="http://www.w3.org/2001/XMLSchema" xmlns:xs="http://www.w3.org/2001/XMLSchema" xmlns:p="http://schemas.microsoft.com/office/2006/metadata/properties" xmlns:ns2="cfd664a4-0d16-41cc-93e1-02e5e4175d64" xmlns:ns3="81f186f9-12fc-49c4-b34b-83e22dad0ebe" targetNamespace="http://schemas.microsoft.com/office/2006/metadata/properties" ma:root="true" ma:fieldsID="8685ac0444cac5e99ad72570dbc781fe" ns2:_="" ns3:_="">
    <xsd:import namespace="cfd664a4-0d16-41cc-93e1-02e5e4175d64"/>
    <xsd:import namespace="81f186f9-12fc-49c4-b34b-83e22dad0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64a4-0d16-41cc-93e1-02e5e4175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3f7807d1-82c6-4e7e-ad3b-0b540edf00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f186f9-12fc-49c4-b34b-83e22dad0eb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d674065-6215-43bd-8a85-8245d8ca2b72}" ma:internalName="TaxCatchAll" ma:showField="CatchAllData" ma:web="81f186f9-12fc-49c4-b34b-83e22dad0e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f186f9-12fc-49c4-b34b-83e22dad0ebe" xsi:nil="true"/>
    <lcf76f155ced4ddcb4097134ff3c332f xmlns="cfd664a4-0d16-41cc-93e1-02e5e4175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A3108-526D-46CF-BA32-4A4896B40C9D}">
  <ds:schemaRefs>
    <ds:schemaRef ds:uri="http://schemas.microsoft.com/sharepoint/v3/contenttype/forms"/>
  </ds:schemaRefs>
</ds:datastoreItem>
</file>

<file path=customXml/itemProps2.xml><?xml version="1.0" encoding="utf-8"?>
<ds:datastoreItem xmlns:ds="http://schemas.openxmlformats.org/officeDocument/2006/customXml" ds:itemID="{AF6B6017-6F2D-4E72-A0F5-C0C9A243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64a4-0d16-41cc-93e1-02e5e4175d64"/>
    <ds:schemaRef ds:uri="81f186f9-12fc-49c4-b34b-83e22dad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71EF-FB57-4F86-AA94-86CB751E8246}">
  <ds:schemaRefs>
    <ds:schemaRef ds:uri="http://schemas.microsoft.com/office/2006/metadata/properties"/>
    <ds:schemaRef ds:uri="http://schemas.microsoft.com/office/infopath/2007/PartnerControls"/>
    <ds:schemaRef ds:uri="81f186f9-12fc-49c4-b34b-83e22dad0ebe"/>
    <ds:schemaRef ds:uri="cfd664a4-0d16-41cc-93e1-02e5e4175d64"/>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1003</Words>
  <Characters>5721</Characters>
  <Application>Microsoft Office Word</Application>
  <DocSecurity>0</DocSecurity>
  <Lines>47</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Put Paper Title Here</vt:lpstr>
      <vt:lpstr>Put Paper Title Here</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creator>INSPI</dc:creator>
  <cp:lastModifiedBy>Mahmut Cüneyt Kahraman</cp:lastModifiedBy>
  <cp:revision>17</cp:revision>
  <cp:lastPrinted>2023-05-12T08:24:00Z</cp:lastPrinted>
  <dcterms:created xsi:type="dcterms:W3CDTF">2023-05-14T17:48:00Z</dcterms:created>
  <dcterms:modified xsi:type="dcterms:W3CDTF">2025-10-25T20:37:00Z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0x01010014C98925BF85344080E7DD80A13A1C82</vt:lpwstr>
  </property>
</Properties>
</file>