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5116" w14:textId="77777777" w:rsidR="00DE2928" w:rsidRPr="00A03C8F" w:rsidRDefault="00DE2928" w:rsidP="00A03C8F">
      <w:pPr>
        <w:suppressAutoHyphens w:val="0"/>
        <w:spacing w:before="120"/>
        <w:contextualSpacing/>
        <w:jc w:val="center"/>
        <w:rPr>
          <w:rFonts w:eastAsia="Times New Roman"/>
          <w:b/>
          <w:spacing w:val="-10"/>
          <w:kern w:val="28"/>
          <w:sz w:val="32"/>
          <w:szCs w:val="56"/>
          <w:lang w:val="en-GB"/>
        </w:rPr>
      </w:pPr>
    </w:p>
    <w:p w14:paraId="098963E8" w14:textId="77777777" w:rsidR="004053BD" w:rsidRPr="004053BD" w:rsidRDefault="004053BD" w:rsidP="004053BD">
      <w:pPr>
        <w:jc w:val="center"/>
        <w:rPr>
          <w:rFonts w:eastAsia="Times New Roman"/>
          <w:b/>
          <w:spacing w:val="-10"/>
          <w:kern w:val="28"/>
          <w:sz w:val="32"/>
          <w:szCs w:val="56"/>
          <w:lang w:val="en-GB"/>
        </w:rPr>
      </w:pPr>
      <w:r w:rsidRPr="004053BD">
        <w:rPr>
          <w:rFonts w:eastAsia="Times New Roman"/>
          <w:b/>
          <w:spacing w:val="-10"/>
          <w:kern w:val="28"/>
          <w:sz w:val="32"/>
          <w:szCs w:val="56"/>
          <w:lang w:val="en-GB"/>
        </w:rPr>
        <w:t>Project Management Strategies for Managing Low to Moderate Nuclear Incidents in Saudi Arabian Nuclear Power Plants</w:t>
      </w:r>
    </w:p>
    <w:p w14:paraId="5B6C62CE" w14:textId="77777777" w:rsidR="00781B6A" w:rsidRDefault="00781B6A">
      <w:pPr>
        <w:pStyle w:val="Affiliation"/>
        <w:jc w:val="both"/>
        <w:rPr>
          <w:rFonts w:ascii="Times New Roman" w:hAnsi="Times New Roman"/>
        </w:rPr>
      </w:pPr>
      <w:bookmarkStart w:id="0" w:name="PutAuthorsHere"/>
    </w:p>
    <w:p w14:paraId="68174F00" w14:textId="77777777" w:rsidR="00781B6A" w:rsidRDefault="00781B6A">
      <w:pPr>
        <w:pStyle w:val="Affiliation"/>
        <w:jc w:val="both"/>
        <w:rPr>
          <w:rFonts w:ascii="Times New Roman" w:hAnsi="Times New Roman"/>
        </w:rPr>
      </w:pPr>
    </w:p>
    <w:p w14:paraId="72CFEC83" w14:textId="1E451DF0" w:rsidR="00AF6250" w:rsidRDefault="00AF6250">
      <w:pPr>
        <w:pStyle w:val="Affiliation"/>
        <w:rPr>
          <w:rFonts w:ascii="Times New Roman" w:hAnsi="Times New Roman"/>
        </w:rPr>
      </w:pPr>
      <w:r>
        <w:rPr>
          <w:rFonts w:ascii="Times New Roman" w:hAnsi="Times New Roman"/>
        </w:rPr>
        <w:t>Mohammed Alhajji</w:t>
      </w:r>
      <w:r w:rsidR="001D6C75" w:rsidRPr="001D6C75">
        <w:rPr>
          <w:rFonts w:ascii="Times New Roman" w:hAnsi="Times New Roman"/>
          <w:vertAlign w:val="superscript"/>
        </w:rPr>
        <w:t>1</w:t>
      </w:r>
      <w:r w:rsidR="001D6C75">
        <w:rPr>
          <w:rFonts w:ascii="Times New Roman" w:hAnsi="Times New Roman"/>
          <w:vertAlign w:val="superscript"/>
        </w:rPr>
        <w:t>*</w:t>
      </w:r>
      <w:r w:rsidR="001D6C75">
        <w:rPr>
          <w:rFonts w:ascii="Times New Roman" w:hAnsi="Times New Roman"/>
        </w:rPr>
        <w:t>, Muhammad Yusuf</w:t>
      </w:r>
      <w:r w:rsidR="001D6C75" w:rsidRPr="001D6C75">
        <w:rPr>
          <w:rFonts w:ascii="Times New Roman" w:hAnsi="Times New Roman"/>
          <w:vertAlign w:val="superscript"/>
        </w:rPr>
        <w:t>2</w:t>
      </w:r>
      <w:r w:rsidR="001D6C75">
        <w:rPr>
          <w:rFonts w:ascii="Times New Roman" w:hAnsi="Times New Roman"/>
        </w:rPr>
        <w:t>, Afaque Shams</w:t>
      </w:r>
      <w:r w:rsidR="001D6C75" w:rsidRPr="001D6C75">
        <w:rPr>
          <w:rFonts w:ascii="Times New Roman" w:hAnsi="Times New Roman"/>
          <w:vertAlign w:val="superscript"/>
        </w:rPr>
        <w:t>1,2</w:t>
      </w:r>
    </w:p>
    <w:p w14:paraId="1DF0BE80" w14:textId="09C5D217" w:rsidR="001D6C75" w:rsidRDefault="001D6C75">
      <w:pPr>
        <w:pStyle w:val="Affiliation"/>
        <w:rPr>
          <w:rFonts w:ascii="Times New Roman" w:hAnsi="Times New Roman"/>
        </w:rPr>
      </w:pPr>
      <w:r w:rsidRPr="001D6C75">
        <w:rPr>
          <w:rFonts w:ascii="Times New Roman" w:hAnsi="Times New Roman"/>
          <w:vertAlign w:val="superscript"/>
        </w:rPr>
        <w:t>1</w:t>
      </w:r>
      <w:r w:rsidRPr="001D6C75">
        <w:rPr>
          <w:rFonts w:ascii="Times New Roman" w:hAnsi="Times New Roman"/>
        </w:rPr>
        <w:t>Department of Mechanical Engineering, King Fahd University of Petroleum &amp; Minerals (KFUPM), Dhahran, 31261, Saudi Arabia</w:t>
      </w:r>
    </w:p>
    <w:p w14:paraId="2D6896A0" w14:textId="0519674B" w:rsidR="001D6C75" w:rsidRDefault="001D6C75">
      <w:pPr>
        <w:pStyle w:val="Affiliation"/>
        <w:rPr>
          <w:rFonts w:ascii="Times New Roman" w:hAnsi="Times New Roman"/>
        </w:rPr>
      </w:pPr>
      <w:r w:rsidRPr="001D6C75">
        <w:rPr>
          <w:rFonts w:ascii="Times New Roman" w:hAnsi="Times New Roman"/>
          <w:vertAlign w:val="superscript"/>
        </w:rPr>
        <w:t>2</w:t>
      </w:r>
      <w:r w:rsidRPr="001D6C75">
        <w:rPr>
          <w:rFonts w:ascii="Times New Roman" w:hAnsi="Times New Roman"/>
        </w:rPr>
        <w:t>Interdisciplinary Research Center for Industrial Nuclear Energy (IRC-INE), King Fahd University of Petroleum and Minerals (KFUPM), Dhahran, 31261, Kingdom of Saudi Arabia</w:t>
      </w:r>
    </w:p>
    <w:p w14:paraId="1CF92FDC" w14:textId="1BFDA73C" w:rsidR="00781B6A" w:rsidRDefault="00781B6A">
      <w:pPr>
        <w:jc w:val="center"/>
        <w:rPr>
          <w:i/>
          <w:iCs/>
        </w:rPr>
      </w:pPr>
    </w:p>
    <w:p w14:paraId="19D4BF22" w14:textId="3BF42B94" w:rsidR="00781B6A" w:rsidRDefault="00781B6A" w:rsidP="00CC6C37">
      <w:pPr>
        <w:pStyle w:val="Affiliation"/>
        <w:jc w:val="both"/>
      </w:pPr>
    </w:p>
    <w:p w14:paraId="11B547DB" w14:textId="77777777" w:rsidR="00781B6A" w:rsidRDefault="00781B6A">
      <w:pPr>
        <w:pStyle w:val="Affiliation"/>
      </w:pPr>
    </w:p>
    <w:bookmarkEnd w:id="0"/>
    <w:p w14:paraId="7292617D" w14:textId="77777777" w:rsidR="00781B6A" w:rsidRPr="00BB7497" w:rsidRDefault="00781B6A">
      <w:pPr>
        <w:pStyle w:val="Header"/>
        <w:rPr>
          <w:sz w:val="22"/>
          <w:szCs w:val="22"/>
        </w:rPr>
        <w:sectPr w:rsidR="00781B6A" w:rsidRPr="00BB749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432" w:footer="720" w:gutter="0"/>
          <w:cols w:space="720"/>
        </w:sectPr>
      </w:pPr>
    </w:p>
    <w:p w14:paraId="74B2FCCE" w14:textId="7E3F3D05"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 </w:t>
      </w:r>
      <w:r w:rsidR="00E93F48" w:rsidRPr="00BB7497">
        <w:rPr>
          <w:rFonts w:ascii="Times New Roman" w:hAnsi="Times New Roman"/>
          <w:caps w:val="0"/>
          <w:sz w:val="22"/>
          <w:szCs w:val="22"/>
        </w:rPr>
        <w:t>Introduction</w:t>
      </w:r>
    </w:p>
    <w:p w14:paraId="58F0BA50" w14:textId="77777777" w:rsidR="00826B24" w:rsidRDefault="00826B24" w:rsidP="00826B24">
      <w:pPr>
        <w:ind w:firstLine="284"/>
        <w:rPr>
          <w:sz w:val="22"/>
          <w:szCs w:val="22"/>
        </w:rPr>
      </w:pPr>
      <w:r w:rsidRPr="00826B24">
        <w:rPr>
          <w:sz w:val="22"/>
          <w:szCs w:val="22"/>
        </w:rPr>
        <w:t xml:space="preserve">The Kingdom of Saudi Arabia's strategic move toward constructing its first nuclear power plant marks a pivotal shift in the nation's energy paradigm, which has long relied on oil. As part of Vision 2030 and the Saudi Green Initiative, this initiative not only aims to diversify the energy mix and reduce carbon emissions but also holds the potential to enhance energy security through low-carbon, sustainable sources such as nuclear power. With the planned deployment of two reactors contributing 2.8 </w:t>
      </w:r>
      <w:proofErr w:type="spellStart"/>
      <w:r w:rsidRPr="00826B24">
        <w:rPr>
          <w:sz w:val="22"/>
          <w:szCs w:val="22"/>
        </w:rPr>
        <w:t>GWe</w:t>
      </w:r>
      <w:proofErr w:type="spellEnd"/>
      <w:r w:rsidRPr="00826B24">
        <w:rPr>
          <w:sz w:val="22"/>
          <w:szCs w:val="22"/>
        </w:rPr>
        <w:t>, which is approximately 5% of national electricity demand, this transition will support long-term goals such as desalination, technological advancement, and economic diversification.</w:t>
      </w:r>
    </w:p>
    <w:p w14:paraId="17753410" w14:textId="0FD1BF01" w:rsidR="00826B24" w:rsidRDefault="00826B24" w:rsidP="00826B24">
      <w:pPr>
        <w:ind w:firstLine="284"/>
        <w:rPr>
          <w:sz w:val="22"/>
          <w:szCs w:val="22"/>
        </w:rPr>
      </w:pPr>
      <w:r w:rsidRPr="00826B24">
        <w:rPr>
          <w:sz w:val="22"/>
          <w:szCs w:val="22"/>
        </w:rPr>
        <w:t xml:space="preserve">However, introducing nuclear technology presents complex challenges, particularly managing low-to-moderate nuclear incidents, which require robust project management and risk governance frameworks. Despite regional interest in nuclear energy, including projects in the UAE and Iran, Saudi Arabia lacks extensive civilian nuclear experience. Public perception remains cautious, influenced by historical unfamiliarity and geopolitical concerns </w:t>
      </w:r>
      <w:r w:rsidR="00CF7B1A">
        <w:rPr>
          <w:sz w:val="22"/>
          <w:szCs w:val="22"/>
        </w:rPr>
        <w:t>[1],</w:t>
      </w:r>
      <w:r w:rsidR="00CF7B1A">
        <w:rPr>
          <w:sz w:val="22"/>
          <w:szCs w:val="22"/>
        </w:rPr>
        <w:t>[</w:t>
      </w:r>
      <w:r w:rsidR="00CF7B1A">
        <w:rPr>
          <w:sz w:val="22"/>
          <w:szCs w:val="22"/>
        </w:rPr>
        <w:t>2</w:t>
      </w:r>
      <w:r w:rsidR="00CF7B1A">
        <w:rPr>
          <w:sz w:val="22"/>
          <w:szCs w:val="22"/>
        </w:rPr>
        <w:t>],[</w:t>
      </w:r>
      <w:r w:rsidR="00CF7B1A">
        <w:rPr>
          <w:sz w:val="22"/>
          <w:szCs w:val="22"/>
        </w:rPr>
        <w:t>3</w:t>
      </w:r>
      <w:r w:rsidR="00CF7B1A">
        <w:rPr>
          <w:sz w:val="22"/>
          <w:szCs w:val="22"/>
        </w:rPr>
        <w:t>]</w:t>
      </w:r>
      <w:r w:rsidRPr="00826B24">
        <w:rPr>
          <w:sz w:val="22"/>
          <w:szCs w:val="22"/>
        </w:rPr>
        <w:t>. Therefore, effective management strategies are vital for building public trust and ensuring safety compliance.</w:t>
      </w:r>
    </w:p>
    <w:p w14:paraId="01A514E5" w14:textId="77777777" w:rsidR="00826B24" w:rsidRDefault="00826B24" w:rsidP="00826B24">
      <w:pPr>
        <w:ind w:firstLine="284"/>
        <w:rPr>
          <w:sz w:val="22"/>
          <w:szCs w:val="22"/>
        </w:rPr>
      </w:pPr>
      <w:r w:rsidRPr="00826B24">
        <w:rPr>
          <w:sz w:val="22"/>
          <w:szCs w:val="22"/>
        </w:rPr>
        <w:t xml:space="preserve">This study addresses the critical gap in tailored incident management approaches specific to Saudi Arabia's emerging nuclear context. The novelty of this research lies in integrating ISO 31000 risk management standards with Project Management Body of Knowledge (PMBOK) based project management practices to propose a strategic framework for mitigating low to moderate nuclear incidents, especially for Saudi Arabia's best practices. Learning from international experiences, such as </w:t>
      </w:r>
      <w:r w:rsidRPr="00826B24">
        <w:rPr>
          <w:sz w:val="22"/>
          <w:szCs w:val="22"/>
        </w:rPr>
        <w:t xml:space="preserve">Finland's </w:t>
      </w:r>
      <w:proofErr w:type="spellStart"/>
      <w:r w:rsidRPr="00826B24">
        <w:rPr>
          <w:sz w:val="22"/>
          <w:szCs w:val="22"/>
        </w:rPr>
        <w:t>Olkiluoto</w:t>
      </w:r>
      <w:proofErr w:type="spellEnd"/>
      <w:r w:rsidRPr="00826B24">
        <w:rPr>
          <w:sz w:val="22"/>
          <w:szCs w:val="22"/>
        </w:rPr>
        <w:t xml:space="preserve"> 3 facility, the study emphasizes the importance of proactive risk assessment, stakeholder coordination, and cultural contextualization. The urgency of implementing this framework cannot be overstated, as it is vital for the safe and successful development of Saudi Arabia's nuclear energy sector.</w:t>
      </w:r>
    </w:p>
    <w:p w14:paraId="2D75D3A1" w14:textId="6EB06F27" w:rsidR="00826B24" w:rsidRPr="004053BD" w:rsidRDefault="00826B24" w:rsidP="00826B24">
      <w:pPr>
        <w:ind w:firstLine="284"/>
        <w:rPr>
          <w:sz w:val="22"/>
          <w:szCs w:val="22"/>
        </w:rPr>
      </w:pPr>
      <w:r w:rsidRPr="00826B24">
        <w:rPr>
          <w:sz w:val="22"/>
          <w:szCs w:val="22"/>
        </w:rPr>
        <w:t>Ultimately, the risk assessment study offers actionable strategies that align with global safety benchmarks, providing a solid foundation for Saudi Arabia's unique environmental, institutional, and social landscape. The proposed framework strengthens regulatory readiness, enhances communication, and supports the Kingdom's aspiration to lead peaceful nuclear energy development safely. This alignment with global safety benchmarks should reassure all stakeholders of the commitment to safety in developing Saudi Arabia's nuclear energy sector.</w:t>
      </w:r>
    </w:p>
    <w:p w14:paraId="5C4893C8" w14:textId="77777777" w:rsidR="00781B6A" w:rsidRPr="00BB7497" w:rsidRDefault="00781B6A">
      <w:pPr>
        <w:pStyle w:val="BodyTextIndent"/>
        <w:rPr>
          <w:sz w:val="22"/>
          <w:szCs w:val="22"/>
        </w:rPr>
      </w:pPr>
    </w:p>
    <w:p w14:paraId="675A48A1" w14:textId="55F6701C"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II. </w:t>
      </w:r>
      <w:r w:rsidR="00826B24">
        <w:rPr>
          <w:rFonts w:ascii="Times New Roman" w:hAnsi="Times New Roman"/>
          <w:caps w:val="0"/>
          <w:sz w:val="22"/>
          <w:szCs w:val="22"/>
        </w:rPr>
        <w:t>Methodology</w:t>
      </w:r>
    </w:p>
    <w:p w14:paraId="424006E5" w14:textId="6AC3407A" w:rsidR="00565072" w:rsidRPr="00565072" w:rsidRDefault="00565072" w:rsidP="00565072">
      <w:pPr>
        <w:pStyle w:val="BodyTextIndent"/>
        <w:rPr>
          <w:sz w:val="22"/>
          <w:szCs w:val="22"/>
        </w:rPr>
      </w:pPr>
      <w:r w:rsidRPr="00565072">
        <w:rPr>
          <w:sz w:val="22"/>
          <w:szCs w:val="22"/>
        </w:rPr>
        <w:t xml:space="preserve">This paper outlines a framework to apply international project and risk management standards to Saudi Arabia’s emerging nuclear sector. The goal is to prevent, mitigate, and respond to nuclear events classified under INES Levels 1–3, as defined by the International Atomic Energy Agency </w:t>
      </w:r>
      <w:r w:rsidR="00CF7B1A">
        <w:rPr>
          <w:sz w:val="22"/>
          <w:szCs w:val="22"/>
        </w:rPr>
        <w:t>[4]</w:t>
      </w:r>
      <w:r w:rsidRPr="00565072">
        <w:rPr>
          <w:sz w:val="22"/>
          <w:szCs w:val="22"/>
        </w:rPr>
        <w:t>, in ways that are technically robust and contextually appropriate for the country’s climate, infrastructure, and socio-political environment.</w:t>
      </w:r>
    </w:p>
    <w:p w14:paraId="49BFDC0A" w14:textId="77777777" w:rsidR="00781B6A" w:rsidRPr="00BB7497" w:rsidRDefault="00781B6A">
      <w:pPr>
        <w:pStyle w:val="BodyTextIndent"/>
        <w:rPr>
          <w:i/>
          <w:iCs/>
        </w:rPr>
      </w:pPr>
    </w:p>
    <w:p w14:paraId="4224FE6C" w14:textId="6832B9D9" w:rsidR="00781B6A" w:rsidRPr="00BB7497" w:rsidRDefault="00781B6A" w:rsidP="005E4871">
      <w:pPr>
        <w:pStyle w:val="BodyTextIndent"/>
        <w:jc w:val="center"/>
        <w:rPr>
          <w:i/>
          <w:iCs/>
        </w:rPr>
      </w:pPr>
      <w:r w:rsidRPr="00BB7497">
        <w:rPr>
          <w:i/>
          <w:iCs/>
        </w:rPr>
        <w:t>T</w:t>
      </w:r>
      <w:r w:rsidR="00A73779" w:rsidRPr="00BB7497">
        <w:rPr>
          <w:i/>
          <w:iCs/>
        </w:rPr>
        <w:t>able</w:t>
      </w:r>
      <w:r w:rsidRPr="00BB7497">
        <w:rPr>
          <w:i/>
          <w:iCs/>
        </w:rPr>
        <w:t xml:space="preserve"> I</w:t>
      </w:r>
      <w:r w:rsidR="00A73779" w:rsidRPr="00BB7497">
        <w:rPr>
          <w:i/>
          <w:iCs/>
        </w:rPr>
        <w:t xml:space="preserve"> </w:t>
      </w:r>
      <w:r w:rsidR="00F112D2" w:rsidRPr="00F112D2">
        <w:rPr>
          <w:i/>
          <w:iCs/>
        </w:rPr>
        <w:t>Examples of INES 1–3 Events and Lessons</w:t>
      </w:r>
    </w:p>
    <w:p w14:paraId="317A5E39" w14:textId="77777777" w:rsidR="00A73779" w:rsidRDefault="00A73779" w:rsidP="00A73779">
      <w:pPr>
        <w:pStyle w:val="BodyTextIndent"/>
        <w:jc w:val="lef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630"/>
        <w:gridCol w:w="2065"/>
      </w:tblGrid>
      <w:tr w:rsidR="00CE06F8" w:rsidRPr="00CE06F8" w14:paraId="7240AD88" w14:textId="77777777" w:rsidTr="00CE06F8">
        <w:tc>
          <w:tcPr>
            <w:tcW w:w="2065" w:type="dxa"/>
            <w:tcBorders>
              <w:bottom w:val="single" w:sz="4" w:space="0" w:color="auto"/>
            </w:tcBorders>
            <w:vAlign w:val="center"/>
          </w:tcPr>
          <w:p w14:paraId="204148A2" w14:textId="05415F01" w:rsidR="00CE06F8" w:rsidRPr="00CE06F8" w:rsidRDefault="00CE06F8" w:rsidP="00CE06F8">
            <w:pPr>
              <w:pStyle w:val="BodyTextIndent"/>
              <w:ind w:firstLine="0"/>
              <w:jc w:val="left"/>
              <w:rPr>
                <w:sz w:val="16"/>
                <w:szCs w:val="16"/>
              </w:rPr>
            </w:pPr>
            <w:r w:rsidRPr="00CE06F8">
              <w:rPr>
                <w:b/>
                <w:bCs/>
                <w:sz w:val="16"/>
                <w:szCs w:val="16"/>
              </w:rPr>
              <w:t>Event</w:t>
            </w:r>
          </w:p>
        </w:tc>
        <w:tc>
          <w:tcPr>
            <w:tcW w:w="630" w:type="dxa"/>
            <w:tcBorders>
              <w:bottom w:val="single" w:sz="4" w:space="0" w:color="auto"/>
            </w:tcBorders>
            <w:vAlign w:val="center"/>
          </w:tcPr>
          <w:p w14:paraId="038C28B3" w14:textId="1ADADD69" w:rsidR="00CE06F8" w:rsidRPr="00CE06F8" w:rsidRDefault="00CE06F8" w:rsidP="00CE06F8">
            <w:pPr>
              <w:pStyle w:val="BodyTextIndent"/>
              <w:ind w:firstLine="0"/>
              <w:jc w:val="center"/>
              <w:rPr>
                <w:sz w:val="16"/>
                <w:szCs w:val="16"/>
              </w:rPr>
            </w:pPr>
            <w:r w:rsidRPr="00CE06F8">
              <w:rPr>
                <w:b/>
                <w:bCs/>
                <w:sz w:val="16"/>
                <w:szCs w:val="16"/>
              </w:rPr>
              <w:t>INES Level</w:t>
            </w:r>
          </w:p>
        </w:tc>
        <w:tc>
          <w:tcPr>
            <w:tcW w:w="2065" w:type="dxa"/>
            <w:tcBorders>
              <w:bottom w:val="single" w:sz="4" w:space="0" w:color="auto"/>
            </w:tcBorders>
            <w:vAlign w:val="center"/>
          </w:tcPr>
          <w:p w14:paraId="33021732" w14:textId="3CD387D6" w:rsidR="00CE06F8" w:rsidRPr="00CE06F8" w:rsidRDefault="00CE06F8" w:rsidP="00CE06F8">
            <w:pPr>
              <w:pStyle w:val="BodyTextIndent"/>
              <w:ind w:firstLine="0"/>
              <w:jc w:val="center"/>
              <w:rPr>
                <w:sz w:val="16"/>
                <w:szCs w:val="16"/>
              </w:rPr>
            </w:pPr>
            <w:r w:rsidRPr="00CE06F8">
              <w:rPr>
                <w:b/>
                <w:bCs/>
                <w:sz w:val="16"/>
                <w:szCs w:val="16"/>
              </w:rPr>
              <w:t>Key Lesson</w:t>
            </w:r>
          </w:p>
        </w:tc>
      </w:tr>
      <w:tr w:rsidR="00CE06F8" w:rsidRPr="00CE06F8" w14:paraId="7234D977" w14:textId="77777777" w:rsidTr="00CE06F8">
        <w:trPr>
          <w:trHeight w:val="170"/>
        </w:trPr>
        <w:tc>
          <w:tcPr>
            <w:tcW w:w="2065" w:type="dxa"/>
            <w:tcBorders>
              <w:bottom w:val="nil"/>
              <w:right w:val="single" w:sz="4" w:space="0" w:color="auto"/>
            </w:tcBorders>
            <w:vAlign w:val="center"/>
          </w:tcPr>
          <w:p w14:paraId="364E287A" w14:textId="4B5E6091" w:rsidR="00CE06F8" w:rsidRPr="00CE06F8" w:rsidRDefault="00CE06F8" w:rsidP="00CE06F8">
            <w:pPr>
              <w:pStyle w:val="BodyTextIndent"/>
              <w:ind w:firstLine="0"/>
              <w:jc w:val="left"/>
              <w:rPr>
                <w:sz w:val="16"/>
                <w:szCs w:val="16"/>
              </w:rPr>
            </w:pPr>
            <w:r w:rsidRPr="00CE06F8">
              <w:rPr>
                <w:sz w:val="16"/>
                <w:szCs w:val="16"/>
              </w:rPr>
              <w:t>Sellafield Leak (UK)</w:t>
            </w:r>
          </w:p>
        </w:tc>
        <w:tc>
          <w:tcPr>
            <w:tcW w:w="630" w:type="dxa"/>
            <w:tcBorders>
              <w:left w:val="single" w:sz="4" w:space="0" w:color="auto"/>
              <w:bottom w:val="nil"/>
              <w:right w:val="single" w:sz="4" w:space="0" w:color="auto"/>
            </w:tcBorders>
            <w:vAlign w:val="center"/>
          </w:tcPr>
          <w:p w14:paraId="6F73A3B7" w14:textId="145F4995" w:rsidR="00CE06F8" w:rsidRPr="00CE06F8" w:rsidRDefault="00CE06F8" w:rsidP="00CE06F8">
            <w:pPr>
              <w:pStyle w:val="BodyTextIndent"/>
              <w:ind w:firstLine="0"/>
              <w:jc w:val="center"/>
              <w:rPr>
                <w:sz w:val="16"/>
                <w:szCs w:val="16"/>
              </w:rPr>
            </w:pPr>
            <w:r w:rsidRPr="00CE06F8">
              <w:rPr>
                <w:sz w:val="16"/>
                <w:szCs w:val="16"/>
              </w:rPr>
              <w:t>3</w:t>
            </w:r>
          </w:p>
        </w:tc>
        <w:tc>
          <w:tcPr>
            <w:tcW w:w="2065" w:type="dxa"/>
            <w:tcBorders>
              <w:left w:val="single" w:sz="4" w:space="0" w:color="auto"/>
              <w:bottom w:val="nil"/>
            </w:tcBorders>
            <w:vAlign w:val="center"/>
          </w:tcPr>
          <w:p w14:paraId="425C83B0" w14:textId="7A911179" w:rsidR="00CE06F8" w:rsidRPr="00CE06F8" w:rsidRDefault="00CE06F8" w:rsidP="00CE06F8">
            <w:pPr>
              <w:pStyle w:val="BodyTextIndent"/>
              <w:ind w:firstLine="0"/>
              <w:jc w:val="center"/>
              <w:rPr>
                <w:sz w:val="16"/>
                <w:szCs w:val="16"/>
              </w:rPr>
            </w:pPr>
            <w:r w:rsidRPr="00CE06F8">
              <w:rPr>
                <w:sz w:val="16"/>
                <w:szCs w:val="16"/>
              </w:rPr>
              <w:t>Improve automated leak detection</w:t>
            </w:r>
          </w:p>
        </w:tc>
      </w:tr>
      <w:tr w:rsidR="00CE06F8" w:rsidRPr="00CE06F8" w14:paraId="1F441C9F" w14:textId="77777777" w:rsidTr="00CE06F8">
        <w:tc>
          <w:tcPr>
            <w:tcW w:w="2065" w:type="dxa"/>
            <w:tcBorders>
              <w:top w:val="nil"/>
              <w:bottom w:val="nil"/>
              <w:right w:val="single" w:sz="4" w:space="0" w:color="auto"/>
            </w:tcBorders>
            <w:vAlign w:val="center"/>
          </w:tcPr>
          <w:p w14:paraId="7087A4F6" w14:textId="1A9695FD" w:rsidR="00CE06F8" w:rsidRPr="00CE06F8" w:rsidRDefault="00CE06F8" w:rsidP="00CE06F8">
            <w:pPr>
              <w:pStyle w:val="BodyTextIndent"/>
              <w:ind w:firstLine="0"/>
              <w:jc w:val="left"/>
              <w:rPr>
                <w:sz w:val="16"/>
                <w:szCs w:val="16"/>
              </w:rPr>
            </w:pPr>
            <w:proofErr w:type="spellStart"/>
            <w:r w:rsidRPr="00CE06F8">
              <w:rPr>
                <w:sz w:val="16"/>
                <w:szCs w:val="16"/>
              </w:rPr>
              <w:t>Flamanville</w:t>
            </w:r>
            <w:proofErr w:type="spellEnd"/>
            <w:r w:rsidRPr="00CE06F8">
              <w:rPr>
                <w:sz w:val="16"/>
                <w:szCs w:val="16"/>
              </w:rPr>
              <w:t xml:space="preserve"> Corrosion (France)</w:t>
            </w:r>
          </w:p>
        </w:tc>
        <w:tc>
          <w:tcPr>
            <w:tcW w:w="630" w:type="dxa"/>
            <w:tcBorders>
              <w:top w:val="nil"/>
              <w:left w:val="single" w:sz="4" w:space="0" w:color="auto"/>
              <w:bottom w:val="nil"/>
              <w:right w:val="single" w:sz="4" w:space="0" w:color="auto"/>
            </w:tcBorders>
            <w:vAlign w:val="center"/>
          </w:tcPr>
          <w:p w14:paraId="1ED05F97" w14:textId="361FD81D" w:rsidR="00CE06F8" w:rsidRPr="00CE06F8" w:rsidRDefault="00CE06F8" w:rsidP="00CE06F8">
            <w:pPr>
              <w:pStyle w:val="BodyTextIndent"/>
              <w:ind w:firstLine="0"/>
              <w:jc w:val="center"/>
              <w:rPr>
                <w:sz w:val="16"/>
                <w:szCs w:val="16"/>
              </w:rPr>
            </w:pPr>
            <w:r w:rsidRPr="00CE06F8">
              <w:rPr>
                <w:sz w:val="16"/>
                <w:szCs w:val="16"/>
              </w:rPr>
              <w:t>2</w:t>
            </w:r>
          </w:p>
        </w:tc>
        <w:tc>
          <w:tcPr>
            <w:tcW w:w="2065" w:type="dxa"/>
            <w:tcBorders>
              <w:top w:val="nil"/>
              <w:left w:val="single" w:sz="4" w:space="0" w:color="auto"/>
              <w:bottom w:val="nil"/>
            </w:tcBorders>
            <w:vAlign w:val="center"/>
          </w:tcPr>
          <w:p w14:paraId="3AEFDED3" w14:textId="2575EB1D" w:rsidR="00CE06F8" w:rsidRPr="00CE06F8" w:rsidRDefault="00CE06F8" w:rsidP="00CE06F8">
            <w:pPr>
              <w:pStyle w:val="BodyTextIndent"/>
              <w:ind w:firstLine="0"/>
              <w:jc w:val="center"/>
              <w:rPr>
                <w:sz w:val="16"/>
                <w:szCs w:val="16"/>
              </w:rPr>
            </w:pPr>
            <w:r w:rsidRPr="00CE06F8">
              <w:rPr>
                <w:sz w:val="16"/>
                <w:szCs w:val="16"/>
              </w:rPr>
              <w:t>Implement predictive maintenance</w:t>
            </w:r>
          </w:p>
        </w:tc>
      </w:tr>
      <w:tr w:rsidR="00CE06F8" w:rsidRPr="00CE06F8" w14:paraId="4840DD57" w14:textId="77777777" w:rsidTr="00CE06F8">
        <w:tc>
          <w:tcPr>
            <w:tcW w:w="2065" w:type="dxa"/>
            <w:tcBorders>
              <w:top w:val="nil"/>
              <w:right w:val="single" w:sz="4" w:space="0" w:color="auto"/>
            </w:tcBorders>
            <w:vAlign w:val="center"/>
          </w:tcPr>
          <w:p w14:paraId="130ABCAE" w14:textId="45829F1B" w:rsidR="00CE06F8" w:rsidRPr="00CE06F8" w:rsidRDefault="00CE06F8" w:rsidP="00CE06F8">
            <w:pPr>
              <w:pStyle w:val="BodyTextIndent"/>
              <w:ind w:firstLine="0"/>
              <w:jc w:val="left"/>
              <w:rPr>
                <w:sz w:val="16"/>
                <w:szCs w:val="16"/>
              </w:rPr>
            </w:pPr>
            <w:r w:rsidRPr="00CE06F8">
              <w:rPr>
                <w:sz w:val="16"/>
                <w:szCs w:val="16"/>
              </w:rPr>
              <w:t>Forsmark Valve Malfunction (Sweden)</w:t>
            </w:r>
          </w:p>
        </w:tc>
        <w:tc>
          <w:tcPr>
            <w:tcW w:w="630" w:type="dxa"/>
            <w:tcBorders>
              <w:top w:val="nil"/>
              <w:left w:val="single" w:sz="4" w:space="0" w:color="auto"/>
              <w:right w:val="single" w:sz="4" w:space="0" w:color="auto"/>
            </w:tcBorders>
            <w:vAlign w:val="center"/>
          </w:tcPr>
          <w:p w14:paraId="1DF52C8A" w14:textId="16EAF1F6" w:rsidR="00CE06F8" w:rsidRPr="00CE06F8" w:rsidRDefault="00CE06F8" w:rsidP="00CE06F8">
            <w:pPr>
              <w:pStyle w:val="BodyTextIndent"/>
              <w:ind w:firstLine="0"/>
              <w:jc w:val="center"/>
              <w:rPr>
                <w:sz w:val="16"/>
                <w:szCs w:val="16"/>
              </w:rPr>
            </w:pPr>
            <w:r w:rsidRPr="00CE06F8">
              <w:rPr>
                <w:sz w:val="16"/>
                <w:szCs w:val="16"/>
              </w:rPr>
              <w:t>1</w:t>
            </w:r>
          </w:p>
        </w:tc>
        <w:tc>
          <w:tcPr>
            <w:tcW w:w="2065" w:type="dxa"/>
            <w:tcBorders>
              <w:top w:val="nil"/>
              <w:left w:val="single" w:sz="4" w:space="0" w:color="auto"/>
            </w:tcBorders>
            <w:vAlign w:val="center"/>
          </w:tcPr>
          <w:p w14:paraId="61BA6EFD" w14:textId="1AD5A36B" w:rsidR="00CE06F8" w:rsidRPr="00CE06F8" w:rsidRDefault="00CE06F8" w:rsidP="00CE06F8">
            <w:pPr>
              <w:pStyle w:val="BodyTextIndent"/>
              <w:ind w:firstLine="0"/>
              <w:jc w:val="center"/>
              <w:rPr>
                <w:sz w:val="16"/>
                <w:szCs w:val="16"/>
              </w:rPr>
            </w:pPr>
            <w:r w:rsidRPr="00CE06F8">
              <w:rPr>
                <w:sz w:val="16"/>
                <w:szCs w:val="16"/>
              </w:rPr>
              <w:t>Enhance procedural compliance</w:t>
            </w:r>
          </w:p>
        </w:tc>
      </w:tr>
    </w:tbl>
    <w:p w14:paraId="7B782EFD" w14:textId="77777777" w:rsidR="00781B6A" w:rsidRDefault="00781B6A">
      <w:pPr>
        <w:pStyle w:val="BodyTextIndent"/>
      </w:pPr>
    </w:p>
    <w:p w14:paraId="7B057936" w14:textId="77777777" w:rsidR="00E77FA5" w:rsidRDefault="00E77FA5" w:rsidP="00A73779">
      <w:pPr>
        <w:pStyle w:val="BodyTextIndent"/>
        <w:jc w:val="left"/>
        <w:rPr>
          <w:b/>
          <w:bCs/>
          <w:i/>
          <w:iCs/>
          <w:sz w:val="22"/>
          <w:szCs w:val="22"/>
        </w:rPr>
      </w:pPr>
    </w:p>
    <w:p w14:paraId="7B8789F7" w14:textId="77777777" w:rsidR="00E77FA5" w:rsidRDefault="00E77FA5" w:rsidP="00A73779">
      <w:pPr>
        <w:pStyle w:val="BodyTextIndent"/>
        <w:jc w:val="left"/>
        <w:rPr>
          <w:b/>
          <w:bCs/>
          <w:i/>
          <w:iCs/>
          <w:sz w:val="22"/>
          <w:szCs w:val="22"/>
        </w:rPr>
      </w:pPr>
    </w:p>
    <w:p w14:paraId="4CAF9EB0" w14:textId="19C4D526" w:rsidR="00781B6A" w:rsidRPr="00BB7497" w:rsidRDefault="00781B6A" w:rsidP="00A73779">
      <w:pPr>
        <w:pStyle w:val="BodyTextIndent"/>
        <w:jc w:val="left"/>
        <w:rPr>
          <w:b/>
          <w:bCs/>
          <w:i/>
          <w:iCs/>
          <w:sz w:val="22"/>
          <w:szCs w:val="22"/>
        </w:rPr>
      </w:pPr>
      <w:r w:rsidRPr="00BB7497">
        <w:rPr>
          <w:b/>
          <w:bCs/>
          <w:i/>
          <w:iCs/>
          <w:sz w:val="22"/>
          <w:szCs w:val="22"/>
        </w:rPr>
        <w:t xml:space="preserve">II.A. </w:t>
      </w:r>
      <w:r w:rsidR="00E77FA5" w:rsidRPr="00E77FA5">
        <w:rPr>
          <w:b/>
          <w:bCs/>
          <w:i/>
          <w:iCs/>
          <w:sz w:val="22"/>
          <w:szCs w:val="22"/>
        </w:rPr>
        <w:t>Project-Based Safety Framework</w:t>
      </w:r>
    </w:p>
    <w:p w14:paraId="0867ACAB" w14:textId="77777777" w:rsidR="00781B6A" w:rsidRPr="00BB7497" w:rsidRDefault="00781B6A">
      <w:pPr>
        <w:pStyle w:val="BodyTextIndent"/>
        <w:jc w:val="center"/>
        <w:rPr>
          <w:i/>
          <w:iCs/>
          <w:sz w:val="22"/>
          <w:szCs w:val="22"/>
        </w:rPr>
      </w:pPr>
    </w:p>
    <w:p w14:paraId="44BA205C" w14:textId="77777777" w:rsidR="000A7A3B" w:rsidRPr="000A7A3B" w:rsidRDefault="000A7A3B" w:rsidP="000A7A3B">
      <w:pPr>
        <w:rPr>
          <w:sz w:val="22"/>
          <w:szCs w:val="22"/>
        </w:rPr>
      </w:pPr>
      <w:r w:rsidRPr="000A7A3B">
        <w:rPr>
          <w:sz w:val="22"/>
          <w:szCs w:val="22"/>
        </w:rPr>
        <w:t>Applying ISO 31000 ensures contextual risk evaluation (e.g., cooling failure during sandstorms), while PMBOK supports stakeholder engagement and incident response. Technologies such as AI diagnostics, blockchain safety logs, and passive safety systems (e.g., APR1400) enhance operational resilience.</w:t>
      </w:r>
    </w:p>
    <w:p w14:paraId="1FEF1051" w14:textId="77777777" w:rsidR="00781B6A" w:rsidRPr="00BB7497" w:rsidRDefault="00781B6A">
      <w:pPr>
        <w:pStyle w:val="BodyTextIndent"/>
        <w:rPr>
          <w:sz w:val="22"/>
          <w:szCs w:val="22"/>
        </w:rPr>
      </w:pPr>
    </w:p>
    <w:p w14:paraId="26A784A2" w14:textId="77777777" w:rsidR="00781B6A" w:rsidRPr="00BB7497" w:rsidRDefault="00781B6A">
      <w:pPr>
        <w:pStyle w:val="BodyTextIndent"/>
        <w:rPr>
          <w:sz w:val="22"/>
          <w:szCs w:val="22"/>
        </w:rPr>
      </w:pPr>
    </w:p>
    <w:p w14:paraId="0397F826" w14:textId="5527A8AE" w:rsidR="00781B6A" w:rsidRPr="00BB7497" w:rsidRDefault="00781B6A" w:rsidP="00B029D3">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III. </w:t>
      </w:r>
      <w:r w:rsidR="007034E7" w:rsidRPr="007034E7">
        <w:rPr>
          <w:rFonts w:ascii="Times New Roman" w:hAnsi="Times New Roman"/>
          <w:caps w:val="0"/>
          <w:sz w:val="22"/>
          <w:szCs w:val="22"/>
        </w:rPr>
        <w:t>Results and Discussions</w:t>
      </w:r>
    </w:p>
    <w:p w14:paraId="78176D3E" w14:textId="77777777" w:rsidR="00781B6A" w:rsidRPr="00BB7497" w:rsidRDefault="00781B6A">
      <w:pPr>
        <w:pStyle w:val="BodyTextIndent"/>
        <w:jc w:val="center"/>
        <w:rPr>
          <w:b/>
          <w:bCs/>
          <w:sz w:val="22"/>
          <w:szCs w:val="22"/>
        </w:rPr>
      </w:pPr>
    </w:p>
    <w:p w14:paraId="1BA50BE3" w14:textId="77777777" w:rsidR="001E1246" w:rsidRPr="001E1246" w:rsidRDefault="001E1246" w:rsidP="001E1246">
      <w:pPr>
        <w:rPr>
          <w:sz w:val="22"/>
          <w:szCs w:val="22"/>
        </w:rPr>
      </w:pPr>
      <w:r w:rsidRPr="001E1246">
        <w:rPr>
          <w:sz w:val="22"/>
          <w:szCs w:val="22"/>
        </w:rPr>
        <w:t xml:space="preserve">This study addresses the critical gap in tailored incident management approaches for Saudi Arabia’s emerging nuclear sector. By integrating ISO 31000 risk management principles and PMBOK project governance methodologies, it proposes a framework for handling low-to-moderate nuclear incidents (INES Level 1–3). Lessons are drawn from international experiences, including Barakah (UAE), </w:t>
      </w:r>
      <w:proofErr w:type="spellStart"/>
      <w:r w:rsidRPr="001E1246">
        <w:rPr>
          <w:sz w:val="22"/>
          <w:szCs w:val="22"/>
        </w:rPr>
        <w:t>Flamanville</w:t>
      </w:r>
      <w:proofErr w:type="spellEnd"/>
      <w:r w:rsidRPr="001E1246">
        <w:rPr>
          <w:sz w:val="22"/>
          <w:szCs w:val="22"/>
        </w:rPr>
        <w:t xml:space="preserve"> (France), and </w:t>
      </w:r>
      <w:proofErr w:type="spellStart"/>
      <w:r w:rsidRPr="001E1246">
        <w:rPr>
          <w:sz w:val="22"/>
          <w:szCs w:val="22"/>
        </w:rPr>
        <w:t>Kashiwazaki-Kariwa</w:t>
      </w:r>
      <w:proofErr w:type="spellEnd"/>
      <w:r w:rsidRPr="001E1246">
        <w:rPr>
          <w:sz w:val="22"/>
          <w:szCs w:val="22"/>
        </w:rPr>
        <w:t xml:space="preserve"> (Japan), where these frameworks improved resilience, oversight, and stakeholder trust.</w:t>
      </w:r>
    </w:p>
    <w:p w14:paraId="7D22DF80" w14:textId="77777777" w:rsidR="007034E7" w:rsidRDefault="004E264A" w:rsidP="007034E7">
      <w:pPr>
        <w:pStyle w:val="BodyTextIndent"/>
        <w:keepNext/>
        <w:ind w:left="-540"/>
        <w:jc w:val="right"/>
      </w:pPr>
      <w:r>
        <w:rPr>
          <w:noProof/>
        </w:rPr>
        <w:drawing>
          <wp:inline distT="0" distB="0" distL="0" distR="0" wp14:anchorId="5ABCD307" wp14:editId="5C61A14F">
            <wp:extent cx="3028950" cy="1985645"/>
            <wp:effectExtent l="0" t="0" r="0" b="0"/>
            <wp:docPr id="207132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8950" cy="1985645"/>
                    </a:xfrm>
                    <a:prstGeom prst="rect">
                      <a:avLst/>
                    </a:prstGeom>
                    <a:noFill/>
                    <a:ln>
                      <a:noFill/>
                    </a:ln>
                  </pic:spPr>
                </pic:pic>
              </a:graphicData>
            </a:graphic>
          </wp:inline>
        </w:drawing>
      </w:r>
    </w:p>
    <w:p w14:paraId="348FE2AF" w14:textId="38801758" w:rsidR="00C6456E" w:rsidRDefault="007034E7" w:rsidP="002F142C">
      <w:pPr>
        <w:pStyle w:val="Caption"/>
        <w:jc w:val="right"/>
      </w:pPr>
      <w:r>
        <w:t xml:space="preserve">Figure </w:t>
      </w:r>
      <w:r>
        <w:fldChar w:fldCharType="begin"/>
      </w:r>
      <w:r>
        <w:instrText xml:space="preserve"> SEQ Figure \* ARABIC </w:instrText>
      </w:r>
      <w:r>
        <w:fldChar w:fldCharType="separate"/>
      </w:r>
      <w:r>
        <w:rPr>
          <w:noProof/>
        </w:rPr>
        <w:t>1</w:t>
      </w:r>
      <w:r>
        <w:fldChar w:fldCharType="end"/>
      </w:r>
      <w:r>
        <w:t xml:space="preserve"> Nuclear Plant Risk Management Strategies</w:t>
      </w:r>
      <w:r w:rsidR="00781B6A">
        <w:t xml:space="preserve"> </w:t>
      </w:r>
    </w:p>
    <w:p w14:paraId="260378ED" w14:textId="77777777" w:rsidR="000456D3" w:rsidRPr="000456D3" w:rsidRDefault="000456D3" w:rsidP="000456D3">
      <w:pPr>
        <w:pStyle w:val="BodyTextIndent"/>
      </w:pPr>
      <w:r w:rsidRPr="000456D3">
        <w:t>These cases demonstrate how ISO 31000 helps identify and prioritize environmental and operational hazards, while PMBOK provides actionable project planning, risk mitigation, and stakeholder alignment. For Saudi Arabia, the combination enables a proactive safety culture and regulatory readiness, tailored to its desert climate and socio-political environment. The proposed framework aligns with global safety benchmarks and provides a strategic foundation for Saudi Arabia’s nuclear safety roadmap.</w:t>
      </w:r>
    </w:p>
    <w:p w14:paraId="095800B5" w14:textId="77777777" w:rsidR="000456D3" w:rsidRDefault="000456D3">
      <w:pPr>
        <w:pStyle w:val="BodyTextIndent"/>
      </w:pPr>
    </w:p>
    <w:p w14:paraId="606C1EC4" w14:textId="77777777" w:rsidR="00781B6A" w:rsidRPr="00BB7497" w:rsidRDefault="00781B6A">
      <w:pPr>
        <w:pStyle w:val="BodyTextIndent"/>
        <w:jc w:val="center"/>
        <w:rPr>
          <w:sz w:val="22"/>
          <w:szCs w:val="22"/>
        </w:rPr>
      </w:pPr>
    </w:p>
    <w:p w14:paraId="2EE535F9" w14:textId="05505C38" w:rsidR="00781B6A" w:rsidRPr="00BB7497" w:rsidRDefault="00781B6A" w:rsidP="00A73779">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IV. </w:t>
      </w:r>
      <w:r w:rsidR="00A73779" w:rsidRPr="00BB7497">
        <w:rPr>
          <w:rFonts w:ascii="Times New Roman" w:hAnsi="Times New Roman"/>
          <w:caps w:val="0"/>
          <w:sz w:val="22"/>
          <w:szCs w:val="22"/>
        </w:rPr>
        <w:t>Conclusions</w:t>
      </w:r>
    </w:p>
    <w:p w14:paraId="2A545319" w14:textId="77777777" w:rsidR="00781B6A" w:rsidRPr="00BB7497" w:rsidRDefault="00781B6A">
      <w:pPr>
        <w:pStyle w:val="BodyTextIndent"/>
        <w:jc w:val="center"/>
        <w:rPr>
          <w:sz w:val="22"/>
          <w:szCs w:val="22"/>
        </w:rPr>
      </w:pPr>
    </w:p>
    <w:p w14:paraId="1B742BD0" w14:textId="77777777" w:rsidR="00346602" w:rsidRPr="00346602" w:rsidRDefault="00346602" w:rsidP="00346602">
      <w:pPr>
        <w:rPr>
          <w:sz w:val="22"/>
          <w:szCs w:val="22"/>
        </w:rPr>
      </w:pPr>
      <w:r w:rsidRPr="00346602">
        <w:rPr>
          <w:sz w:val="22"/>
          <w:szCs w:val="22"/>
        </w:rPr>
        <w:t>The study concludes that integrating ISO 31000 and PMBOK into Saudi Arabia’s nuclear development enhances safety, supports international compliance, and builds public trust. Tailored adaptations—like sandstorm filtration, water-efficient cooling, and cultural communication strategies—are essential for INES-level event preparedness and response.</w:t>
      </w:r>
    </w:p>
    <w:p w14:paraId="256B3C28" w14:textId="77777777" w:rsidR="00346602" w:rsidRDefault="00346602" w:rsidP="00A73779">
      <w:pPr>
        <w:pStyle w:val="AcknowledgmentsClauseTitle"/>
        <w:jc w:val="left"/>
        <w:rPr>
          <w:rFonts w:ascii="Times New Roman" w:hAnsi="Times New Roman"/>
          <w:caps w:val="0"/>
          <w:sz w:val="22"/>
          <w:szCs w:val="22"/>
        </w:rPr>
      </w:pPr>
    </w:p>
    <w:p w14:paraId="4C304CDC" w14:textId="6505AA82" w:rsidR="00781B6A" w:rsidRPr="00BB7497" w:rsidRDefault="00A73779" w:rsidP="00A73779">
      <w:pPr>
        <w:pStyle w:val="AcknowledgmentsClauseTitle"/>
        <w:jc w:val="left"/>
        <w:rPr>
          <w:rFonts w:ascii="Times New Roman" w:hAnsi="Times New Roman"/>
          <w:sz w:val="22"/>
          <w:szCs w:val="22"/>
        </w:rPr>
      </w:pPr>
      <w:r w:rsidRPr="00BB7497">
        <w:rPr>
          <w:rFonts w:ascii="Times New Roman" w:hAnsi="Times New Roman"/>
          <w:caps w:val="0"/>
          <w:sz w:val="22"/>
          <w:szCs w:val="22"/>
        </w:rPr>
        <w:t>Acknowledgments</w:t>
      </w:r>
    </w:p>
    <w:p w14:paraId="10935B15" w14:textId="77777777" w:rsidR="00A73779" w:rsidRPr="00BB7497" w:rsidRDefault="00A73779" w:rsidP="00A73779">
      <w:pPr>
        <w:pStyle w:val="BodyTextIndent"/>
        <w:ind w:firstLine="0"/>
        <w:rPr>
          <w:sz w:val="22"/>
          <w:szCs w:val="22"/>
        </w:rPr>
      </w:pPr>
    </w:p>
    <w:p w14:paraId="14FBED97" w14:textId="77777777" w:rsidR="00AA586B" w:rsidRPr="00AA586B" w:rsidRDefault="00AA586B" w:rsidP="00AA586B">
      <w:pPr>
        <w:rPr>
          <w:sz w:val="22"/>
          <w:szCs w:val="22"/>
        </w:rPr>
      </w:pPr>
      <w:r w:rsidRPr="00AA586B">
        <w:rPr>
          <w:sz w:val="22"/>
          <w:szCs w:val="22"/>
        </w:rPr>
        <w:t>The author extends sincere thanks to Dr. Afaque Shams and Dr. Mohammed Yousef for their supervision and guidance. Appreciation also goes to KFUPM for supporting this research.</w:t>
      </w:r>
    </w:p>
    <w:p w14:paraId="47B1ABC0" w14:textId="2D0462CA" w:rsidR="00781B6A" w:rsidRPr="00BB7497" w:rsidRDefault="00A73779">
      <w:pPr>
        <w:pStyle w:val="ReferencesClauseTitle"/>
        <w:jc w:val="center"/>
        <w:rPr>
          <w:rFonts w:ascii="Times New Roman" w:hAnsi="Times New Roman"/>
          <w:sz w:val="22"/>
          <w:szCs w:val="22"/>
        </w:rPr>
      </w:pPr>
      <w:r w:rsidRPr="00BB7497">
        <w:rPr>
          <w:rFonts w:ascii="Times New Roman" w:hAnsi="Times New Roman"/>
          <w:caps w:val="0"/>
          <w:sz w:val="22"/>
          <w:szCs w:val="22"/>
        </w:rPr>
        <w:t>References</w:t>
      </w:r>
    </w:p>
    <w:p w14:paraId="0616C663" w14:textId="77777777" w:rsidR="00781B6A" w:rsidRDefault="00781B6A">
      <w:pPr>
        <w:pStyle w:val="BodyTextIndent"/>
      </w:pPr>
    </w:p>
    <w:p w14:paraId="4AAE46F2" w14:textId="01308F77" w:rsidR="000B6ECE" w:rsidRPr="000B6ECE" w:rsidRDefault="000B6ECE" w:rsidP="000B6ECE">
      <w:pPr>
        <w:pStyle w:val="BodyTextIndent"/>
        <w:numPr>
          <w:ilvl w:val="0"/>
          <w:numId w:val="1"/>
        </w:numPr>
      </w:pPr>
      <w:r w:rsidRPr="000B6ECE">
        <w:rPr>
          <w:b/>
          <w:bCs/>
        </w:rPr>
        <w:t>Al-Suwaidan, A.</w:t>
      </w:r>
      <w:r w:rsidRPr="000B6ECE">
        <w:t xml:space="preserve"> (2023). </w:t>
      </w:r>
      <w:r w:rsidRPr="000B6ECE">
        <w:rPr>
          <w:i/>
          <w:iCs/>
        </w:rPr>
        <w:t>Public Perception of Nuclear Energy in Saudi Arabia</w:t>
      </w:r>
      <w:r w:rsidRPr="000B6ECE">
        <w:t>. Riyadh: King Abdulaziz City for Science and Technology.</w:t>
      </w:r>
    </w:p>
    <w:p w14:paraId="1AE47DAB" w14:textId="3EFC829A" w:rsidR="000B6ECE" w:rsidRPr="000B6ECE" w:rsidRDefault="000B6ECE" w:rsidP="000B6ECE">
      <w:pPr>
        <w:pStyle w:val="BodyTextIndent"/>
        <w:numPr>
          <w:ilvl w:val="0"/>
          <w:numId w:val="1"/>
        </w:numPr>
      </w:pPr>
      <w:proofErr w:type="spellStart"/>
      <w:r w:rsidRPr="000B6ECE">
        <w:rPr>
          <w:b/>
          <w:bCs/>
        </w:rPr>
        <w:t>Alrashed</w:t>
      </w:r>
      <w:proofErr w:type="spellEnd"/>
      <w:r w:rsidRPr="000B6ECE">
        <w:rPr>
          <w:b/>
          <w:bCs/>
        </w:rPr>
        <w:t>, F., Alqahtani, M., &amp; Alzahrani, S.</w:t>
      </w:r>
      <w:r w:rsidRPr="000B6ECE">
        <w:t xml:space="preserve"> (2022). </w:t>
      </w:r>
      <w:r w:rsidRPr="000B6ECE">
        <w:rPr>
          <w:i/>
          <w:iCs/>
        </w:rPr>
        <w:t>Societal Views on Emerging Nuclear Technologies in the Middle East</w:t>
      </w:r>
      <w:r w:rsidRPr="000B6ECE">
        <w:t>. Journal of Energy Policy Studies, 14(2), 78–95.</w:t>
      </w:r>
    </w:p>
    <w:p w14:paraId="4AB5D519" w14:textId="782B1487" w:rsidR="000B6ECE" w:rsidRDefault="000B6ECE" w:rsidP="000B6ECE">
      <w:pPr>
        <w:pStyle w:val="BodyTextIndent"/>
        <w:numPr>
          <w:ilvl w:val="0"/>
          <w:numId w:val="1"/>
        </w:numPr>
      </w:pPr>
      <w:r w:rsidRPr="000B6ECE">
        <w:rPr>
          <w:b/>
          <w:bCs/>
        </w:rPr>
        <w:t>Fattah, W., &amp; El-</w:t>
      </w:r>
      <w:proofErr w:type="spellStart"/>
      <w:r w:rsidRPr="000B6ECE">
        <w:rPr>
          <w:b/>
          <w:bCs/>
        </w:rPr>
        <w:t>Katiri</w:t>
      </w:r>
      <w:proofErr w:type="spellEnd"/>
      <w:r w:rsidRPr="000B6ECE">
        <w:rPr>
          <w:b/>
          <w:bCs/>
        </w:rPr>
        <w:t>, L.</w:t>
      </w:r>
      <w:r w:rsidRPr="000B6ECE">
        <w:t xml:space="preserve"> (2018). </w:t>
      </w:r>
      <w:r w:rsidRPr="000B6ECE">
        <w:rPr>
          <w:i/>
          <w:iCs/>
        </w:rPr>
        <w:t>Nuclear Energy in the Gulf States: Prospects and Risks</w:t>
      </w:r>
      <w:r w:rsidRPr="000B6ECE">
        <w:t>. Oxford Institute for Energy Studies.</w:t>
      </w:r>
    </w:p>
    <w:p w14:paraId="15133A62" w14:textId="77777777" w:rsidR="0073317F" w:rsidRPr="0073317F" w:rsidRDefault="0073317F" w:rsidP="004B7B54">
      <w:pPr>
        <w:pStyle w:val="BodyTextIndent"/>
        <w:numPr>
          <w:ilvl w:val="0"/>
          <w:numId w:val="1"/>
        </w:numPr>
      </w:pPr>
      <w:r w:rsidRPr="0073317F">
        <w:rPr>
          <w:b/>
          <w:bCs/>
        </w:rPr>
        <w:t>IAEA</w:t>
      </w:r>
      <w:r w:rsidRPr="0073317F">
        <w:t>. (2013). INES User’s Manual: The International Nuclear and Radiological Event Scale. Vienna: International Atomic Energy Agency.</w:t>
      </w:r>
    </w:p>
    <w:p w14:paraId="3C1EA598" w14:textId="77777777" w:rsidR="0073317F" w:rsidRPr="000B6ECE" w:rsidRDefault="0073317F" w:rsidP="004B7B54">
      <w:pPr>
        <w:pStyle w:val="BodyTextIndent"/>
        <w:ind w:left="360" w:firstLine="0"/>
      </w:pPr>
    </w:p>
    <w:p w14:paraId="17C7650F" w14:textId="3C776018" w:rsidR="00781B6A" w:rsidRDefault="00781B6A" w:rsidP="004B7B54">
      <w:pPr>
        <w:pStyle w:val="BodyTextIndent"/>
        <w:ind w:firstLine="0"/>
      </w:pPr>
    </w:p>
    <w:sectPr w:rsidR="00781B6A" w:rsidSect="00D964A7">
      <w:footerReference w:type="default" r:id="rId17"/>
      <w:type w:val="continuous"/>
      <w:pgSz w:w="12240" w:h="15840"/>
      <w:pgMar w:top="1440" w:right="1080" w:bottom="1440" w:left="1080" w:header="432" w:footer="720" w:gutter="0"/>
      <w:cols w:num="2" w:space="540" w:equalWidth="0">
        <w:col w:w="4770" w:space="540"/>
        <w:col w:w="47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153A" w14:textId="77777777" w:rsidR="0038004A" w:rsidRDefault="0038004A">
      <w:r>
        <w:separator/>
      </w:r>
    </w:p>
  </w:endnote>
  <w:endnote w:type="continuationSeparator" w:id="0">
    <w:p w14:paraId="15404DED" w14:textId="77777777" w:rsidR="0038004A" w:rsidRDefault="003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A2D" w14:textId="77777777" w:rsidR="008459EE" w:rsidRDefault="0084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06444"/>
      <w:docPartObj>
        <w:docPartGallery w:val="Page Numbers (Bottom of Page)"/>
        <w:docPartUnique/>
      </w:docPartObj>
    </w:sdtPr>
    <w:sdtEndPr>
      <w:rPr>
        <w:noProof/>
      </w:rPr>
    </w:sdtEndPr>
    <w:sdtContent>
      <w:p w14:paraId="4BAE5E3E" w14:textId="0B93C50F" w:rsidR="00136502" w:rsidRDefault="00136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63B96" w14:textId="77777777" w:rsidR="00781B6A" w:rsidRDefault="00781B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8B4B" w14:textId="77777777" w:rsidR="008459EE" w:rsidRDefault="00845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2AA7" w14:textId="77777777" w:rsidR="00781B6A" w:rsidRDefault="00781B6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5BB8" w14:textId="77777777" w:rsidR="0038004A" w:rsidRDefault="0038004A">
      <w:r>
        <w:separator/>
      </w:r>
    </w:p>
  </w:footnote>
  <w:footnote w:type="continuationSeparator" w:id="0">
    <w:p w14:paraId="7E15154E" w14:textId="77777777" w:rsidR="0038004A" w:rsidRDefault="0038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7BB8" w14:textId="77777777" w:rsidR="008459EE" w:rsidRDefault="0084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8A31" w14:textId="61B622CC" w:rsidR="00310711" w:rsidRDefault="00E37DA7" w:rsidP="00310711">
    <w:pPr>
      <w:ind w:right="112"/>
      <w:rPr>
        <w:rFonts w:ascii="Calibri" w:hAnsi="Calibri" w:cs="Calibri"/>
        <w:spacing w:val="-4"/>
        <w:sz w:val="18"/>
        <w:szCs w:val="22"/>
      </w:rPr>
    </w:pPr>
    <w:r>
      <w:rPr>
        <w:rFonts w:ascii="Calibri" w:hAnsi="Calibri" w:cs="Calibri"/>
        <w:noProof/>
        <w:spacing w:val="-4"/>
        <w:sz w:val="18"/>
        <w:szCs w:val="22"/>
      </w:rPr>
      <w:drawing>
        <wp:anchor distT="0" distB="0" distL="114300" distR="114300" simplePos="0" relativeHeight="251658240" behindDoc="0" locked="0" layoutInCell="1" allowOverlap="1" wp14:anchorId="2361E2B9" wp14:editId="749BABF3">
          <wp:simplePos x="0" y="0"/>
          <wp:positionH relativeFrom="column">
            <wp:posOffset>0</wp:posOffset>
          </wp:positionH>
          <wp:positionV relativeFrom="paragraph">
            <wp:posOffset>0</wp:posOffset>
          </wp:positionV>
          <wp:extent cx="2956560" cy="53803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56560" cy="538037"/>
                  </a:xfrm>
                  <a:prstGeom prst="rect">
                    <a:avLst/>
                  </a:prstGeom>
                </pic:spPr>
              </pic:pic>
            </a:graphicData>
          </a:graphic>
        </wp:anchor>
      </w:drawing>
    </w:r>
    <w:r w:rsidR="00310711">
      <w:rPr>
        <w:rFonts w:ascii="Calibri" w:hAnsi="Calibri" w:cs="Calibri"/>
        <w:spacing w:val="-4"/>
        <w:sz w:val="18"/>
        <w:szCs w:val="22"/>
      </w:rPr>
      <w:t xml:space="preserve">                           </w:t>
    </w:r>
  </w:p>
  <w:p w14:paraId="0963291C" w14:textId="0E206B83" w:rsidR="001A7F8D" w:rsidRPr="000B12D5" w:rsidRDefault="00310711" w:rsidP="00310711">
    <w:pPr>
      <w:ind w:left="4320" w:right="112"/>
      <w:jc w:val="right"/>
      <w:rPr>
        <w:rFonts w:asciiTheme="majorBidi" w:hAnsiTheme="majorBidi" w:cstheme="majorBidi"/>
        <w:spacing w:val="-3"/>
        <w:sz w:val="18"/>
        <w:szCs w:val="22"/>
      </w:rPr>
    </w:pPr>
    <w:r>
      <w:rPr>
        <w:rFonts w:ascii="Calibri" w:hAnsi="Calibri" w:cs="Calibri"/>
        <w:spacing w:val="-4"/>
        <w:sz w:val="18"/>
        <w:szCs w:val="22"/>
      </w:rPr>
      <w:t xml:space="preserve">            </w:t>
    </w:r>
    <w:r w:rsidR="001A7F8D" w:rsidRPr="000B12D5">
      <w:rPr>
        <w:rFonts w:asciiTheme="majorBidi" w:hAnsiTheme="majorBidi" w:cstheme="majorBidi"/>
        <w:spacing w:val="-4"/>
        <w:sz w:val="18"/>
        <w:szCs w:val="22"/>
      </w:rPr>
      <w:t xml:space="preserve">Proceedings of </w:t>
    </w:r>
    <w:r w:rsidRPr="000B12D5">
      <w:rPr>
        <w:rFonts w:asciiTheme="majorBidi" w:hAnsiTheme="majorBidi" w:cstheme="majorBidi"/>
        <w:spacing w:val="-3"/>
        <w:sz w:val="18"/>
        <w:szCs w:val="22"/>
      </w:rPr>
      <w:t>SCOPE</w:t>
    </w:r>
  </w:p>
  <w:p w14:paraId="176AE24C" w14:textId="67E37822" w:rsidR="00781B6A" w:rsidRPr="000B12D5" w:rsidRDefault="00310711" w:rsidP="00310711">
    <w:pPr>
      <w:ind w:right="112"/>
      <w:jc w:val="right"/>
      <w:rPr>
        <w:rFonts w:asciiTheme="majorBidi" w:hAnsiTheme="majorBidi" w:cstheme="majorBidi"/>
        <w:sz w:val="18"/>
        <w:szCs w:val="22"/>
      </w:rPr>
    </w:pPr>
    <w:r w:rsidRPr="000B12D5">
      <w:rPr>
        <w:rFonts w:asciiTheme="majorBidi" w:hAnsiTheme="majorBidi" w:cstheme="majorBidi"/>
        <w:spacing w:val="-3"/>
        <w:sz w:val="18"/>
        <w:szCs w:val="22"/>
      </w:rPr>
      <w:t xml:space="preserve">                                                                    </w:t>
    </w:r>
    <w:r w:rsidR="008459EE">
      <w:rPr>
        <w:rFonts w:asciiTheme="majorBidi" w:hAnsiTheme="majorBidi" w:cstheme="majorBidi"/>
        <w:spacing w:val="-3"/>
        <w:sz w:val="18"/>
        <w:szCs w:val="22"/>
      </w:rPr>
      <w:t>2-6,</w:t>
    </w:r>
    <w:r w:rsidR="008459EE">
      <w:rPr>
        <w:rFonts w:asciiTheme="majorBidi" w:hAnsiTheme="majorBidi" w:cstheme="majorBidi"/>
        <w:spacing w:val="-9"/>
        <w:sz w:val="18"/>
        <w:szCs w:val="22"/>
      </w:rPr>
      <w:t xml:space="preserve"> </w:t>
    </w:r>
    <w:r w:rsidRPr="000B12D5">
      <w:rPr>
        <w:rFonts w:asciiTheme="majorBidi" w:hAnsiTheme="majorBidi" w:cstheme="majorBidi"/>
        <w:spacing w:val="-9"/>
        <w:sz w:val="18"/>
        <w:szCs w:val="22"/>
      </w:rPr>
      <w:t>Nov.</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202</w:t>
    </w:r>
    <w:r w:rsidR="008459EE">
      <w:rPr>
        <w:rFonts w:asciiTheme="majorBidi" w:hAnsiTheme="majorBidi" w:cstheme="majorBidi"/>
        <w:spacing w:val="-3"/>
        <w:sz w:val="18"/>
        <w:szCs w:val="22"/>
      </w:rPr>
      <w:t>5</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w:t>
    </w:r>
    <w:r w:rsidR="001A7F8D" w:rsidRPr="000B12D5">
      <w:rPr>
        <w:rFonts w:asciiTheme="majorBidi" w:hAnsiTheme="majorBidi" w:cstheme="majorBidi"/>
        <w:spacing w:val="-13"/>
        <w:sz w:val="18"/>
        <w:szCs w:val="22"/>
      </w:rPr>
      <w:t xml:space="preserve"> </w:t>
    </w:r>
    <w:r w:rsidRPr="000B12D5">
      <w:rPr>
        <w:rFonts w:asciiTheme="majorBidi" w:hAnsiTheme="majorBidi" w:cstheme="majorBidi"/>
        <w:sz w:val="18"/>
        <w:szCs w:val="22"/>
      </w:rPr>
      <w:t>KFUPM</w:t>
    </w:r>
  </w:p>
  <w:p w14:paraId="7B8603BE" w14:textId="68375B01" w:rsidR="00DE2928" w:rsidRPr="000B12D5" w:rsidRDefault="00DE2928" w:rsidP="00310711">
    <w:pPr>
      <w:ind w:right="112"/>
      <w:jc w:val="right"/>
      <w:rPr>
        <w:rFonts w:asciiTheme="majorBidi" w:hAnsiTheme="majorBidi" w:cstheme="majorBidi"/>
        <w:sz w:val="18"/>
        <w:szCs w:val="22"/>
      </w:rPr>
    </w:pPr>
    <w:r w:rsidRPr="000B12D5">
      <w:rPr>
        <w:rFonts w:asciiTheme="majorBidi" w:hAnsiTheme="majorBidi" w:cstheme="majorBidi"/>
        <w:sz w:val="18"/>
        <w:szCs w:val="22"/>
      </w:rPr>
      <w:t>Paper 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F00B" w14:textId="77777777" w:rsidR="008459EE" w:rsidRDefault="00845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24275"/>
    <w:multiLevelType w:val="hybridMultilevel"/>
    <w:tmpl w:val="81FABF64"/>
    <w:lvl w:ilvl="0" w:tplc="E30AA10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6B3F0E"/>
    <w:multiLevelType w:val="hybridMultilevel"/>
    <w:tmpl w:val="1EB43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FAA75B4"/>
    <w:multiLevelType w:val="multilevel"/>
    <w:tmpl w:val="A7E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484899">
    <w:abstractNumId w:val="1"/>
  </w:num>
  <w:num w:numId="2" w16cid:durableId="54086524">
    <w:abstractNumId w:val="0"/>
  </w:num>
  <w:num w:numId="3" w16cid:durableId="45568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3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913B5D"/>
    <w:rsid w:val="00026943"/>
    <w:rsid w:val="000456D3"/>
    <w:rsid w:val="00052CFC"/>
    <w:rsid w:val="00064E2D"/>
    <w:rsid w:val="00065AB0"/>
    <w:rsid w:val="000846E7"/>
    <w:rsid w:val="000A7A3B"/>
    <w:rsid w:val="000B12D5"/>
    <w:rsid w:val="000B6ECE"/>
    <w:rsid w:val="000C1B04"/>
    <w:rsid w:val="000C62D7"/>
    <w:rsid w:val="00100D5D"/>
    <w:rsid w:val="00136502"/>
    <w:rsid w:val="0015418B"/>
    <w:rsid w:val="00162337"/>
    <w:rsid w:val="001A7F8D"/>
    <w:rsid w:val="001D6C75"/>
    <w:rsid w:val="001E1246"/>
    <w:rsid w:val="001F04AA"/>
    <w:rsid w:val="00240349"/>
    <w:rsid w:val="00251BF7"/>
    <w:rsid w:val="00263110"/>
    <w:rsid w:val="0026712E"/>
    <w:rsid w:val="002726E2"/>
    <w:rsid w:val="002A4D97"/>
    <w:rsid w:val="002C7065"/>
    <w:rsid w:val="002F06E3"/>
    <w:rsid w:val="002F142C"/>
    <w:rsid w:val="00300569"/>
    <w:rsid w:val="00310711"/>
    <w:rsid w:val="00313CCF"/>
    <w:rsid w:val="00346602"/>
    <w:rsid w:val="0038004A"/>
    <w:rsid w:val="003857DC"/>
    <w:rsid w:val="00385F97"/>
    <w:rsid w:val="003903CD"/>
    <w:rsid w:val="003B1751"/>
    <w:rsid w:val="004053BD"/>
    <w:rsid w:val="004267FB"/>
    <w:rsid w:val="004914F2"/>
    <w:rsid w:val="004A6C80"/>
    <w:rsid w:val="004B7B54"/>
    <w:rsid w:val="004E264A"/>
    <w:rsid w:val="00514AC8"/>
    <w:rsid w:val="00547F17"/>
    <w:rsid w:val="00565072"/>
    <w:rsid w:val="00593C26"/>
    <w:rsid w:val="00597468"/>
    <w:rsid w:val="005D37E8"/>
    <w:rsid w:val="005E4871"/>
    <w:rsid w:val="00626278"/>
    <w:rsid w:val="006948D8"/>
    <w:rsid w:val="006B292F"/>
    <w:rsid w:val="006D498D"/>
    <w:rsid w:val="007034E7"/>
    <w:rsid w:val="007172E6"/>
    <w:rsid w:val="0073317F"/>
    <w:rsid w:val="00752B6B"/>
    <w:rsid w:val="00781B6A"/>
    <w:rsid w:val="007B0A22"/>
    <w:rsid w:val="007D2C30"/>
    <w:rsid w:val="00826B24"/>
    <w:rsid w:val="008459EE"/>
    <w:rsid w:val="00867316"/>
    <w:rsid w:val="008732A0"/>
    <w:rsid w:val="00890B80"/>
    <w:rsid w:val="00891C89"/>
    <w:rsid w:val="008E49CF"/>
    <w:rsid w:val="008E7C06"/>
    <w:rsid w:val="00913B5D"/>
    <w:rsid w:val="00961716"/>
    <w:rsid w:val="00973F33"/>
    <w:rsid w:val="009B071A"/>
    <w:rsid w:val="00A03C8F"/>
    <w:rsid w:val="00A0476B"/>
    <w:rsid w:val="00A54BC9"/>
    <w:rsid w:val="00A643C1"/>
    <w:rsid w:val="00A73779"/>
    <w:rsid w:val="00AA586B"/>
    <w:rsid w:val="00AB041E"/>
    <w:rsid w:val="00AE2B8F"/>
    <w:rsid w:val="00AE3D3F"/>
    <w:rsid w:val="00AF6250"/>
    <w:rsid w:val="00B029D3"/>
    <w:rsid w:val="00B22151"/>
    <w:rsid w:val="00B90C92"/>
    <w:rsid w:val="00BB3255"/>
    <w:rsid w:val="00BB7497"/>
    <w:rsid w:val="00C13B01"/>
    <w:rsid w:val="00C16186"/>
    <w:rsid w:val="00C26700"/>
    <w:rsid w:val="00C322DD"/>
    <w:rsid w:val="00C6456E"/>
    <w:rsid w:val="00C90160"/>
    <w:rsid w:val="00CC6C37"/>
    <w:rsid w:val="00CD18F8"/>
    <w:rsid w:val="00CE06F8"/>
    <w:rsid w:val="00CF7B1A"/>
    <w:rsid w:val="00D015D4"/>
    <w:rsid w:val="00D532C6"/>
    <w:rsid w:val="00D56596"/>
    <w:rsid w:val="00D77F91"/>
    <w:rsid w:val="00D85CDB"/>
    <w:rsid w:val="00D964A7"/>
    <w:rsid w:val="00DC1BE2"/>
    <w:rsid w:val="00DE2928"/>
    <w:rsid w:val="00DE5D45"/>
    <w:rsid w:val="00E065A9"/>
    <w:rsid w:val="00E37DA7"/>
    <w:rsid w:val="00E72B98"/>
    <w:rsid w:val="00E77FA5"/>
    <w:rsid w:val="00E87866"/>
    <w:rsid w:val="00E93F48"/>
    <w:rsid w:val="00F112D2"/>
    <w:rsid w:val="00F212F3"/>
    <w:rsid w:val="00F26E66"/>
    <w:rsid w:val="00F34F6E"/>
    <w:rsid w:val="00F40EAF"/>
    <w:rsid w:val="00FE1102"/>
    <w:rsid w:val="00FE247B"/>
    <w:rsid w:val="00FF09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C1B45"/>
  <w15:docId w15:val="{94E0892D-F0DE-4C00-9A1E-3D67B9A3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A7"/>
    <w:pPr>
      <w:suppressAutoHyphens/>
      <w:jc w:val="both"/>
    </w:pPr>
    <w:rPr>
      <w:kern w:val="14"/>
    </w:rPr>
  </w:style>
  <w:style w:type="paragraph" w:styleId="Heading1">
    <w:name w:val="heading 1"/>
    <w:basedOn w:val="Normal"/>
    <w:next w:val="Normal"/>
    <w:qFormat/>
    <w:rsid w:val="00D964A7"/>
    <w:pPr>
      <w:keepNext/>
      <w:jc w:val="center"/>
      <w:outlineLvl w:val="0"/>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rsid w:val="00D964A7"/>
    <w:pPr>
      <w:keepNext/>
    </w:pPr>
    <w:rPr>
      <w:rFonts w:ascii="Arial" w:hAnsi="Arial"/>
      <w:b/>
      <w:caps/>
    </w:rPr>
  </w:style>
  <w:style w:type="paragraph" w:styleId="BodyTextIndent">
    <w:name w:val="Body Text Indent"/>
    <w:basedOn w:val="Normal"/>
    <w:semiHidden/>
    <w:rsid w:val="00D964A7"/>
    <w:pPr>
      <w:ind w:firstLine="360"/>
    </w:pPr>
  </w:style>
  <w:style w:type="paragraph" w:customStyle="1" w:styleId="AcknowledgmentsClauseTitle">
    <w:name w:val="Acknowledgments Clause Title"/>
    <w:basedOn w:val="Normal"/>
    <w:next w:val="BodyTextIndent"/>
    <w:rsid w:val="00D964A7"/>
    <w:pPr>
      <w:keepNext/>
      <w:spacing w:before="240"/>
    </w:pPr>
    <w:rPr>
      <w:rFonts w:ascii="Arial" w:hAnsi="Arial"/>
      <w:b/>
      <w:caps/>
    </w:rPr>
  </w:style>
  <w:style w:type="paragraph" w:customStyle="1" w:styleId="Affiliation">
    <w:name w:val="Affiliation"/>
    <w:basedOn w:val="Normal"/>
    <w:rsid w:val="00D964A7"/>
    <w:pPr>
      <w:jc w:val="center"/>
    </w:pPr>
    <w:rPr>
      <w:rFonts w:ascii="Arial" w:hAnsi="Arial"/>
    </w:rPr>
  </w:style>
  <w:style w:type="paragraph" w:customStyle="1" w:styleId="Author">
    <w:name w:val="Author"/>
    <w:basedOn w:val="Normal"/>
    <w:next w:val="Affiliation"/>
    <w:rsid w:val="00D964A7"/>
    <w:pPr>
      <w:keepNext/>
      <w:jc w:val="center"/>
    </w:pPr>
    <w:rPr>
      <w:rFonts w:ascii="Arial" w:hAnsi="Arial"/>
      <w:b/>
    </w:rPr>
  </w:style>
  <w:style w:type="paragraph" w:customStyle="1" w:styleId="DocumentNumber">
    <w:name w:val="Document Number"/>
    <w:basedOn w:val="Normal"/>
    <w:next w:val="BodyTextIndent"/>
    <w:rsid w:val="00D964A7"/>
    <w:pPr>
      <w:spacing w:before="900"/>
      <w:jc w:val="right"/>
    </w:pPr>
    <w:rPr>
      <w:rFonts w:ascii="Arial" w:hAnsi="Arial"/>
      <w:b/>
      <w:sz w:val="36"/>
    </w:rPr>
  </w:style>
  <w:style w:type="paragraph" w:customStyle="1" w:styleId="EquationNumber">
    <w:name w:val="Equation Number"/>
    <w:basedOn w:val="Normal"/>
    <w:next w:val="BodyTextIndent"/>
    <w:rsid w:val="00D964A7"/>
    <w:pPr>
      <w:jc w:val="right"/>
    </w:pPr>
  </w:style>
  <w:style w:type="paragraph" w:customStyle="1" w:styleId="FigureCaption">
    <w:name w:val="Figure Caption"/>
    <w:basedOn w:val="Normal"/>
    <w:next w:val="BodyTextIndent"/>
    <w:rsid w:val="00D964A7"/>
    <w:pPr>
      <w:jc w:val="center"/>
    </w:pPr>
    <w:rPr>
      <w:rFonts w:ascii="Arial" w:hAnsi="Arial"/>
      <w:b/>
    </w:rPr>
  </w:style>
  <w:style w:type="paragraph" w:styleId="Footer">
    <w:name w:val="footer"/>
    <w:basedOn w:val="Normal"/>
    <w:next w:val="Header"/>
    <w:link w:val="FooterChar"/>
    <w:uiPriority w:val="99"/>
    <w:rsid w:val="00D964A7"/>
    <w:pPr>
      <w:tabs>
        <w:tab w:val="center" w:pos="5760"/>
        <w:tab w:val="right" w:pos="10800"/>
      </w:tabs>
    </w:pPr>
  </w:style>
  <w:style w:type="paragraph" w:styleId="Header">
    <w:name w:val="header"/>
    <w:basedOn w:val="Normal"/>
    <w:next w:val="Footer"/>
    <w:semiHidden/>
    <w:rsid w:val="00D964A7"/>
  </w:style>
  <w:style w:type="paragraph" w:styleId="FootnoteText">
    <w:name w:val="footnote text"/>
    <w:basedOn w:val="Normal"/>
    <w:semiHidden/>
    <w:rsid w:val="00D964A7"/>
    <w:pPr>
      <w:ind w:firstLine="360"/>
    </w:pPr>
    <w:rPr>
      <w:sz w:val="16"/>
    </w:rPr>
  </w:style>
  <w:style w:type="paragraph" w:customStyle="1" w:styleId="NomenclatureClauseTitle">
    <w:name w:val="Nomenclature Clause Title"/>
    <w:basedOn w:val="Normal"/>
    <w:next w:val="BodyTextIndent"/>
    <w:rsid w:val="00D964A7"/>
    <w:pPr>
      <w:keepNext/>
      <w:spacing w:before="240"/>
    </w:pPr>
    <w:rPr>
      <w:rFonts w:ascii="Arial" w:hAnsi="Arial"/>
      <w:b/>
      <w:caps/>
    </w:rPr>
  </w:style>
  <w:style w:type="paragraph" w:customStyle="1" w:styleId="ReferencesClauseTitle">
    <w:name w:val="References Clause Title"/>
    <w:basedOn w:val="Normal"/>
    <w:next w:val="BodyTextIndent"/>
    <w:rsid w:val="00D964A7"/>
    <w:pPr>
      <w:keepNext/>
      <w:spacing w:before="240"/>
    </w:pPr>
    <w:rPr>
      <w:rFonts w:ascii="Arial" w:hAnsi="Arial"/>
      <w:b/>
      <w:caps/>
    </w:rPr>
  </w:style>
  <w:style w:type="paragraph" w:customStyle="1" w:styleId="TableCaption">
    <w:name w:val="Table Caption"/>
    <w:basedOn w:val="Normal"/>
    <w:next w:val="BodyTextIndent"/>
    <w:rsid w:val="00D964A7"/>
    <w:pPr>
      <w:jc w:val="center"/>
    </w:pPr>
    <w:rPr>
      <w:rFonts w:ascii="Arial" w:hAnsi="Arial"/>
      <w:b/>
    </w:rPr>
  </w:style>
  <w:style w:type="paragraph" w:customStyle="1" w:styleId="TextHeading1">
    <w:name w:val="Text Heading 1"/>
    <w:basedOn w:val="Normal"/>
    <w:next w:val="BodyTextIndent"/>
    <w:rsid w:val="00D964A7"/>
    <w:pPr>
      <w:keepNext/>
      <w:spacing w:before="240"/>
    </w:pPr>
    <w:rPr>
      <w:rFonts w:ascii="Arial" w:hAnsi="Arial"/>
      <w:b/>
      <w:caps/>
    </w:rPr>
  </w:style>
  <w:style w:type="paragraph" w:customStyle="1" w:styleId="TextHeading2">
    <w:name w:val="Text Heading 2"/>
    <w:basedOn w:val="Normal"/>
    <w:next w:val="BodyTextIndent"/>
    <w:rsid w:val="00D964A7"/>
    <w:pPr>
      <w:keepNext/>
      <w:spacing w:before="240"/>
    </w:pPr>
    <w:rPr>
      <w:rFonts w:ascii="Arial" w:hAnsi="Arial"/>
      <w:b/>
      <w:u w:val="single"/>
    </w:rPr>
  </w:style>
  <w:style w:type="paragraph" w:customStyle="1" w:styleId="TextHeading3">
    <w:name w:val="Text Heading 3"/>
    <w:basedOn w:val="Normal"/>
    <w:next w:val="BodyTextIndent"/>
    <w:rsid w:val="00D964A7"/>
    <w:pPr>
      <w:spacing w:before="240"/>
      <w:ind w:left="360"/>
    </w:pPr>
    <w:rPr>
      <w:rFonts w:ascii="Arial" w:hAnsi="Arial"/>
      <w:b/>
      <w:u w:val="single"/>
    </w:rPr>
  </w:style>
  <w:style w:type="paragraph" w:styleId="Title">
    <w:name w:val="Title"/>
    <w:basedOn w:val="Normal"/>
    <w:qFormat/>
    <w:rsid w:val="00D964A7"/>
    <w:pPr>
      <w:spacing w:before="760"/>
      <w:jc w:val="center"/>
    </w:pPr>
    <w:rPr>
      <w:rFonts w:ascii="Arial" w:hAnsi="Arial"/>
      <w:b/>
      <w:caps/>
      <w:sz w:val="24"/>
    </w:rPr>
  </w:style>
  <w:style w:type="paragraph" w:styleId="Caption">
    <w:name w:val="caption"/>
    <w:basedOn w:val="Normal"/>
    <w:next w:val="Normal"/>
    <w:qFormat/>
    <w:rsid w:val="00D964A7"/>
    <w:pPr>
      <w:spacing w:before="120" w:after="120"/>
    </w:pPr>
    <w:rPr>
      <w:b/>
    </w:rPr>
  </w:style>
  <w:style w:type="paragraph" w:styleId="BalloonText">
    <w:name w:val="Balloon Text"/>
    <w:basedOn w:val="Normal"/>
    <w:link w:val="BalloonTextChar"/>
    <w:uiPriority w:val="99"/>
    <w:semiHidden/>
    <w:unhideWhenUsed/>
    <w:rsid w:val="00C322DD"/>
    <w:rPr>
      <w:rFonts w:ascii="Tahoma" w:hAnsi="Tahoma" w:cs="Tahoma"/>
      <w:sz w:val="16"/>
      <w:szCs w:val="16"/>
    </w:rPr>
  </w:style>
  <w:style w:type="character" w:customStyle="1" w:styleId="BalloonTextChar">
    <w:name w:val="Balloon Text Char"/>
    <w:basedOn w:val="DefaultParagraphFont"/>
    <w:link w:val="BalloonText"/>
    <w:uiPriority w:val="99"/>
    <w:semiHidden/>
    <w:rsid w:val="00C322DD"/>
    <w:rPr>
      <w:rFonts w:ascii="Tahoma" w:hAnsi="Tahoma" w:cs="Tahoma"/>
      <w:kern w:val="14"/>
      <w:sz w:val="16"/>
      <w:szCs w:val="16"/>
    </w:rPr>
  </w:style>
  <w:style w:type="character" w:styleId="CommentReference">
    <w:name w:val="annotation reference"/>
    <w:basedOn w:val="DefaultParagraphFont"/>
    <w:uiPriority w:val="99"/>
    <w:semiHidden/>
    <w:unhideWhenUsed/>
    <w:rsid w:val="00D532C6"/>
    <w:rPr>
      <w:sz w:val="16"/>
      <w:szCs w:val="16"/>
    </w:rPr>
  </w:style>
  <w:style w:type="paragraph" w:styleId="CommentText">
    <w:name w:val="annotation text"/>
    <w:basedOn w:val="Normal"/>
    <w:link w:val="CommentTextChar"/>
    <w:uiPriority w:val="99"/>
    <w:unhideWhenUsed/>
    <w:rsid w:val="00D532C6"/>
  </w:style>
  <w:style w:type="character" w:customStyle="1" w:styleId="CommentTextChar">
    <w:name w:val="Comment Text Char"/>
    <w:basedOn w:val="DefaultParagraphFont"/>
    <w:link w:val="CommentText"/>
    <w:uiPriority w:val="99"/>
    <w:rsid w:val="00D532C6"/>
    <w:rPr>
      <w:kern w:val="14"/>
    </w:rPr>
  </w:style>
  <w:style w:type="paragraph" w:styleId="CommentSubject">
    <w:name w:val="annotation subject"/>
    <w:basedOn w:val="CommentText"/>
    <w:next w:val="CommentText"/>
    <w:link w:val="CommentSubjectChar"/>
    <w:uiPriority w:val="99"/>
    <w:semiHidden/>
    <w:unhideWhenUsed/>
    <w:rsid w:val="00D532C6"/>
    <w:rPr>
      <w:b/>
      <w:bCs/>
    </w:rPr>
  </w:style>
  <w:style w:type="character" w:customStyle="1" w:styleId="CommentSubjectChar">
    <w:name w:val="Comment Subject Char"/>
    <w:basedOn w:val="CommentTextChar"/>
    <w:link w:val="CommentSubject"/>
    <w:uiPriority w:val="99"/>
    <w:semiHidden/>
    <w:rsid w:val="00D532C6"/>
    <w:rPr>
      <w:b/>
      <w:bCs/>
      <w:kern w:val="14"/>
    </w:rPr>
  </w:style>
  <w:style w:type="paragraph" w:styleId="Revision">
    <w:name w:val="Revision"/>
    <w:hidden/>
    <w:uiPriority w:val="99"/>
    <w:semiHidden/>
    <w:rsid w:val="00F212F3"/>
    <w:rPr>
      <w:kern w:val="14"/>
    </w:rPr>
  </w:style>
  <w:style w:type="character" w:customStyle="1" w:styleId="FooterChar">
    <w:name w:val="Footer Char"/>
    <w:basedOn w:val="DefaultParagraphFont"/>
    <w:link w:val="Footer"/>
    <w:uiPriority w:val="99"/>
    <w:rsid w:val="00136502"/>
    <w:rPr>
      <w:kern w:val="14"/>
    </w:rPr>
  </w:style>
  <w:style w:type="paragraph" w:styleId="ListParagraph">
    <w:name w:val="List Paragraph"/>
    <w:basedOn w:val="Normal"/>
    <w:uiPriority w:val="34"/>
    <w:qFormat/>
    <w:rsid w:val="0073317F"/>
    <w:pPr>
      <w:ind w:left="720"/>
      <w:contextualSpacing/>
    </w:pPr>
  </w:style>
  <w:style w:type="character" w:styleId="Strong">
    <w:name w:val="Strong"/>
    <w:basedOn w:val="DefaultParagraphFont"/>
    <w:uiPriority w:val="22"/>
    <w:qFormat/>
    <w:rsid w:val="0073317F"/>
    <w:rPr>
      <w:b/>
      <w:bCs/>
    </w:rPr>
  </w:style>
  <w:style w:type="character" w:styleId="Emphasis">
    <w:name w:val="Emphasis"/>
    <w:basedOn w:val="DefaultParagraphFont"/>
    <w:uiPriority w:val="20"/>
    <w:qFormat/>
    <w:rsid w:val="007331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702">
      <w:bodyDiv w:val="1"/>
      <w:marLeft w:val="0"/>
      <w:marRight w:val="0"/>
      <w:marTop w:val="0"/>
      <w:marBottom w:val="0"/>
      <w:divBdr>
        <w:top w:val="none" w:sz="0" w:space="0" w:color="auto"/>
        <w:left w:val="none" w:sz="0" w:space="0" w:color="auto"/>
        <w:bottom w:val="none" w:sz="0" w:space="0" w:color="auto"/>
        <w:right w:val="none" w:sz="0" w:space="0" w:color="auto"/>
      </w:divBdr>
    </w:div>
    <w:div w:id="159934455">
      <w:bodyDiv w:val="1"/>
      <w:marLeft w:val="0"/>
      <w:marRight w:val="0"/>
      <w:marTop w:val="0"/>
      <w:marBottom w:val="0"/>
      <w:divBdr>
        <w:top w:val="none" w:sz="0" w:space="0" w:color="auto"/>
        <w:left w:val="none" w:sz="0" w:space="0" w:color="auto"/>
        <w:bottom w:val="none" w:sz="0" w:space="0" w:color="auto"/>
        <w:right w:val="none" w:sz="0" w:space="0" w:color="auto"/>
      </w:divBdr>
    </w:div>
    <w:div w:id="210307543">
      <w:bodyDiv w:val="1"/>
      <w:marLeft w:val="0"/>
      <w:marRight w:val="0"/>
      <w:marTop w:val="0"/>
      <w:marBottom w:val="0"/>
      <w:divBdr>
        <w:top w:val="none" w:sz="0" w:space="0" w:color="auto"/>
        <w:left w:val="none" w:sz="0" w:space="0" w:color="auto"/>
        <w:bottom w:val="none" w:sz="0" w:space="0" w:color="auto"/>
        <w:right w:val="none" w:sz="0" w:space="0" w:color="auto"/>
      </w:divBdr>
    </w:div>
    <w:div w:id="256518599">
      <w:bodyDiv w:val="1"/>
      <w:marLeft w:val="0"/>
      <w:marRight w:val="0"/>
      <w:marTop w:val="0"/>
      <w:marBottom w:val="0"/>
      <w:divBdr>
        <w:top w:val="none" w:sz="0" w:space="0" w:color="auto"/>
        <w:left w:val="none" w:sz="0" w:space="0" w:color="auto"/>
        <w:bottom w:val="none" w:sz="0" w:space="0" w:color="auto"/>
        <w:right w:val="none" w:sz="0" w:space="0" w:color="auto"/>
      </w:divBdr>
    </w:div>
    <w:div w:id="346829764">
      <w:bodyDiv w:val="1"/>
      <w:marLeft w:val="0"/>
      <w:marRight w:val="0"/>
      <w:marTop w:val="0"/>
      <w:marBottom w:val="0"/>
      <w:divBdr>
        <w:top w:val="none" w:sz="0" w:space="0" w:color="auto"/>
        <w:left w:val="none" w:sz="0" w:space="0" w:color="auto"/>
        <w:bottom w:val="none" w:sz="0" w:space="0" w:color="auto"/>
        <w:right w:val="none" w:sz="0" w:space="0" w:color="auto"/>
      </w:divBdr>
    </w:div>
    <w:div w:id="355347891">
      <w:bodyDiv w:val="1"/>
      <w:marLeft w:val="0"/>
      <w:marRight w:val="0"/>
      <w:marTop w:val="0"/>
      <w:marBottom w:val="0"/>
      <w:divBdr>
        <w:top w:val="none" w:sz="0" w:space="0" w:color="auto"/>
        <w:left w:val="none" w:sz="0" w:space="0" w:color="auto"/>
        <w:bottom w:val="none" w:sz="0" w:space="0" w:color="auto"/>
        <w:right w:val="none" w:sz="0" w:space="0" w:color="auto"/>
      </w:divBdr>
    </w:div>
    <w:div w:id="491717975">
      <w:bodyDiv w:val="1"/>
      <w:marLeft w:val="0"/>
      <w:marRight w:val="0"/>
      <w:marTop w:val="0"/>
      <w:marBottom w:val="0"/>
      <w:divBdr>
        <w:top w:val="none" w:sz="0" w:space="0" w:color="auto"/>
        <w:left w:val="none" w:sz="0" w:space="0" w:color="auto"/>
        <w:bottom w:val="none" w:sz="0" w:space="0" w:color="auto"/>
        <w:right w:val="none" w:sz="0" w:space="0" w:color="auto"/>
      </w:divBdr>
    </w:div>
    <w:div w:id="504441833">
      <w:bodyDiv w:val="1"/>
      <w:marLeft w:val="0"/>
      <w:marRight w:val="0"/>
      <w:marTop w:val="0"/>
      <w:marBottom w:val="0"/>
      <w:divBdr>
        <w:top w:val="none" w:sz="0" w:space="0" w:color="auto"/>
        <w:left w:val="none" w:sz="0" w:space="0" w:color="auto"/>
        <w:bottom w:val="none" w:sz="0" w:space="0" w:color="auto"/>
        <w:right w:val="none" w:sz="0" w:space="0" w:color="auto"/>
      </w:divBdr>
    </w:div>
    <w:div w:id="519978625">
      <w:bodyDiv w:val="1"/>
      <w:marLeft w:val="0"/>
      <w:marRight w:val="0"/>
      <w:marTop w:val="0"/>
      <w:marBottom w:val="0"/>
      <w:divBdr>
        <w:top w:val="none" w:sz="0" w:space="0" w:color="auto"/>
        <w:left w:val="none" w:sz="0" w:space="0" w:color="auto"/>
        <w:bottom w:val="none" w:sz="0" w:space="0" w:color="auto"/>
        <w:right w:val="none" w:sz="0" w:space="0" w:color="auto"/>
      </w:divBdr>
    </w:div>
    <w:div w:id="540478037">
      <w:bodyDiv w:val="1"/>
      <w:marLeft w:val="0"/>
      <w:marRight w:val="0"/>
      <w:marTop w:val="0"/>
      <w:marBottom w:val="0"/>
      <w:divBdr>
        <w:top w:val="none" w:sz="0" w:space="0" w:color="auto"/>
        <w:left w:val="none" w:sz="0" w:space="0" w:color="auto"/>
        <w:bottom w:val="none" w:sz="0" w:space="0" w:color="auto"/>
        <w:right w:val="none" w:sz="0" w:space="0" w:color="auto"/>
      </w:divBdr>
    </w:div>
    <w:div w:id="1130241580">
      <w:bodyDiv w:val="1"/>
      <w:marLeft w:val="0"/>
      <w:marRight w:val="0"/>
      <w:marTop w:val="0"/>
      <w:marBottom w:val="0"/>
      <w:divBdr>
        <w:top w:val="none" w:sz="0" w:space="0" w:color="auto"/>
        <w:left w:val="none" w:sz="0" w:space="0" w:color="auto"/>
        <w:bottom w:val="none" w:sz="0" w:space="0" w:color="auto"/>
        <w:right w:val="none" w:sz="0" w:space="0" w:color="auto"/>
      </w:divBdr>
    </w:div>
    <w:div w:id="1331522536">
      <w:bodyDiv w:val="1"/>
      <w:marLeft w:val="0"/>
      <w:marRight w:val="0"/>
      <w:marTop w:val="0"/>
      <w:marBottom w:val="0"/>
      <w:divBdr>
        <w:top w:val="none" w:sz="0" w:space="0" w:color="auto"/>
        <w:left w:val="none" w:sz="0" w:space="0" w:color="auto"/>
        <w:bottom w:val="none" w:sz="0" w:space="0" w:color="auto"/>
        <w:right w:val="none" w:sz="0" w:space="0" w:color="auto"/>
      </w:divBdr>
    </w:div>
    <w:div w:id="1443185946">
      <w:bodyDiv w:val="1"/>
      <w:marLeft w:val="0"/>
      <w:marRight w:val="0"/>
      <w:marTop w:val="0"/>
      <w:marBottom w:val="0"/>
      <w:divBdr>
        <w:top w:val="none" w:sz="0" w:space="0" w:color="auto"/>
        <w:left w:val="none" w:sz="0" w:space="0" w:color="auto"/>
        <w:bottom w:val="none" w:sz="0" w:space="0" w:color="auto"/>
        <w:right w:val="none" w:sz="0" w:space="0" w:color="auto"/>
      </w:divBdr>
    </w:div>
    <w:div w:id="1447654586">
      <w:bodyDiv w:val="1"/>
      <w:marLeft w:val="0"/>
      <w:marRight w:val="0"/>
      <w:marTop w:val="0"/>
      <w:marBottom w:val="0"/>
      <w:divBdr>
        <w:top w:val="none" w:sz="0" w:space="0" w:color="auto"/>
        <w:left w:val="none" w:sz="0" w:space="0" w:color="auto"/>
        <w:bottom w:val="none" w:sz="0" w:space="0" w:color="auto"/>
        <w:right w:val="none" w:sz="0" w:space="0" w:color="auto"/>
      </w:divBdr>
    </w:div>
    <w:div w:id="1473794925">
      <w:bodyDiv w:val="1"/>
      <w:marLeft w:val="0"/>
      <w:marRight w:val="0"/>
      <w:marTop w:val="0"/>
      <w:marBottom w:val="0"/>
      <w:divBdr>
        <w:top w:val="none" w:sz="0" w:space="0" w:color="auto"/>
        <w:left w:val="none" w:sz="0" w:space="0" w:color="auto"/>
        <w:bottom w:val="none" w:sz="0" w:space="0" w:color="auto"/>
        <w:right w:val="none" w:sz="0" w:space="0" w:color="auto"/>
      </w:divBdr>
    </w:div>
    <w:div w:id="1781803010">
      <w:bodyDiv w:val="1"/>
      <w:marLeft w:val="0"/>
      <w:marRight w:val="0"/>
      <w:marTop w:val="0"/>
      <w:marBottom w:val="0"/>
      <w:divBdr>
        <w:top w:val="none" w:sz="0" w:space="0" w:color="auto"/>
        <w:left w:val="none" w:sz="0" w:space="0" w:color="auto"/>
        <w:bottom w:val="none" w:sz="0" w:space="0" w:color="auto"/>
        <w:right w:val="none" w:sz="0" w:space="0" w:color="auto"/>
      </w:divBdr>
    </w:div>
    <w:div w:id="1922594492">
      <w:bodyDiv w:val="1"/>
      <w:marLeft w:val="0"/>
      <w:marRight w:val="0"/>
      <w:marTop w:val="0"/>
      <w:marBottom w:val="0"/>
      <w:divBdr>
        <w:top w:val="none" w:sz="0" w:space="0" w:color="auto"/>
        <w:left w:val="none" w:sz="0" w:space="0" w:color="auto"/>
        <w:bottom w:val="none" w:sz="0" w:space="0" w:color="auto"/>
        <w:right w:val="none" w:sz="0" w:space="0" w:color="auto"/>
      </w:divBdr>
    </w:div>
    <w:div w:id="2003270362">
      <w:bodyDiv w:val="1"/>
      <w:marLeft w:val="0"/>
      <w:marRight w:val="0"/>
      <w:marTop w:val="0"/>
      <w:marBottom w:val="0"/>
      <w:divBdr>
        <w:top w:val="none" w:sz="0" w:space="0" w:color="auto"/>
        <w:left w:val="none" w:sz="0" w:space="0" w:color="auto"/>
        <w:bottom w:val="none" w:sz="0" w:space="0" w:color="auto"/>
        <w:right w:val="none" w:sz="0" w:space="0" w:color="auto"/>
      </w:divBdr>
    </w:div>
    <w:div w:id="2108697644">
      <w:bodyDiv w:val="1"/>
      <w:marLeft w:val="0"/>
      <w:marRight w:val="0"/>
      <w:marTop w:val="0"/>
      <w:marBottom w:val="0"/>
      <w:divBdr>
        <w:top w:val="none" w:sz="0" w:space="0" w:color="auto"/>
        <w:left w:val="none" w:sz="0" w:space="0" w:color="auto"/>
        <w:bottom w:val="none" w:sz="0" w:space="0" w:color="auto"/>
        <w:right w:val="none" w:sz="0" w:space="0" w:color="auto"/>
      </w:divBdr>
    </w:div>
    <w:div w:id="21408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6" ma:contentTypeDescription="새 문서를 만듭니다." ma:contentTypeScope="" ma:versionID="c5da32ffbb99c4243afbd5b38aee955f">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8685ac0444cac5e99ad72570dbc781fe"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A3108-526D-46CF-BA32-4A4896B40C9D}">
  <ds:schemaRefs>
    <ds:schemaRef ds:uri="http://schemas.microsoft.com/sharepoint/v3/contenttype/forms"/>
  </ds:schemaRefs>
</ds:datastoreItem>
</file>

<file path=customXml/itemProps2.xml><?xml version="1.0" encoding="utf-8"?>
<ds:datastoreItem xmlns:ds="http://schemas.openxmlformats.org/officeDocument/2006/customXml" ds:itemID="{91A071EF-FB57-4F86-AA94-86CB751E8246}">
  <ds:schemaRefs>
    <ds:schemaRef ds:uri="http://schemas.microsoft.com/office/2006/metadata/properties"/>
    <ds:schemaRef ds:uri="http://schemas.microsoft.com/office/infopath/2007/PartnerControls"/>
    <ds:schemaRef ds:uri="81f186f9-12fc-49c4-b34b-83e22dad0ebe"/>
    <ds:schemaRef ds:uri="cfd664a4-0d16-41cc-93e1-02e5e4175d64"/>
  </ds:schemaRefs>
</ds:datastoreItem>
</file>

<file path=customXml/itemProps3.xml><?xml version="1.0" encoding="utf-8"?>
<ds:datastoreItem xmlns:ds="http://schemas.openxmlformats.org/officeDocument/2006/customXml" ds:itemID="{AF6B6017-6F2D-4E72-A0F5-C0C9A243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64a4-0d16-41cc-93e1-02e5e4175d64"/>
    <ds:schemaRef ds:uri="81f186f9-12fc-49c4-b34b-83e22dad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852</Words>
  <Characters>5559</Characters>
  <Application>Microsoft Office Word</Application>
  <DocSecurity>0</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Put Paper Title Here</vt:lpstr>
      <vt:lpstr>Put Paper Title Here</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creator>INSPI</dc:creator>
  <cp:lastModifiedBy>Mohammed Al-Hajji</cp:lastModifiedBy>
  <cp:revision>13</cp:revision>
  <cp:lastPrinted>2023-05-12T08:24:00Z</cp:lastPrinted>
  <dcterms:created xsi:type="dcterms:W3CDTF">2025-05-18T08:17:00Z</dcterms:created>
  <dcterms:modified xsi:type="dcterms:W3CDTF">2025-05-18T09:36:00Z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ies>
</file>