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62CE" w14:textId="6E9A71FE" w:rsidR="00781B6A" w:rsidRPr="0031516B" w:rsidRDefault="0031516B" w:rsidP="0031516B">
      <w:pPr>
        <w:suppressAutoHyphens w:val="0"/>
        <w:spacing w:before="120"/>
        <w:contextualSpacing/>
        <w:jc w:val="center"/>
        <w:rPr>
          <w:rFonts w:eastAsia="Times New Roman"/>
          <w:b/>
          <w:spacing w:val="-10"/>
          <w:kern w:val="28"/>
          <w:sz w:val="32"/>
          <w:szCs w:val="56"/>
          <w:lang w:val="en-GB"/>
        </w:rPr>
      </w:pPr>
      <w:r w:rsidRPr="0031516B">
        <w:rPr>
          <w:rFonts w:eastAsia="Times New Roman"/>
          <w:b/>
          <w:spacing w:val="-10"/>
          <w:kern w:val="28"/>
          <w:sz w:val="32"/>
          <w:szCs w:val="56"/>
          <w:lang w:val="en-GB"/>
        </w:rPr>
        <w:t xml:space="preserve">Pressurized Thermal Shock in </w:t>
      </w:r>
      <w:bookmarkStart w:id="0" w:name="PutAuthorsHere"/>
      <w:r>
        <w:rPr>
          <w:rFonts w:eastAsia="Times New Roman"/>
          <w:b/>
          <w:spacing w:val="-10"/>
          <w:kern w:val="28"/>
          <w:sz w:val="32"/>
          <w:szCs w:val="56"/>
          <w:lang w:val="en-GB"/>
        </w:rPr>
        <w:t>Pressur</w:t>
      </w:r>
      <w:r w:rsidR="002D2106">
        <w:rPr>
          <w:rFonts w:eastAsia="Times New Roman"/>
          <w:b/>
          <w:spacing w:val="-10"/>
          <w:kern w:val="28"/>
          <w:sz w:val="32"/>
          <w:szCs w:val="56"/>
          <w:lang w:val="en-GB"/>
        </w:rPr>
        <w:t>ized</w:t>
      </w:r>
      <w:r>
        <w:rPr>
          <w:rFonts w:eastAsia="Times New Roman"/>
          <w:b/>
          <w:spacing w:val="-10"/>
          <w:kern w:val="28"/>
          <w:sz w:val="32"/>
          <w:szCs w:val="56"/>
          <w:lang w:val="en-GB"/>
        </w:rPr>
        <w:t xml:space="preserve"> Water Reactor</w:t>
      </w:r>
    </w:p>
    <w:p w14:paraId="2442DD2D" w14:textId="49A94695" w:rsidR="00D33883" w:rsidRPr="00D33883" w:rsidRDefault="00D33883" w:rsidP="00D33883">
      <w:pPr>
        <w:pStyle w:val="Affiliation"/>
        <w:rPr>
          <w:lang w:val="en-CA"/>
        </w:rPr>
      </w:pPr>
      <w:r w:rsidRPr="00D33883">
        <w:rPr>
          <w:bCs/>
          <w:lang w:val="en-GB"/>
        </w:rPr>
        <w:t>Abdelrahman Irbai</w:t>
      </w:r>
      <w:r w:rsidRPr="00D33883">
        <w:rPr>
          <w:bCs/>
          <w:vertAlign w:val="superscript"/>
          <w:lang w:val="en-GB"/>
        </w:rPr>
        <w:t>1*</w:t>
      </w:r>
      <w:r w:rsidRPr="00D33883">
        <w:rPr>
          <w:bCs/>
          <w:lang w:val="en-GB"/>
        </w:rPr>
        <w:t>, Osman Siddiqui</w:t>
      </w:r>
      <w:r w:rsidRPr="00D33883">
        <w:rPr>
          <w:bCs/>
          <w:vertAlign w:val="superscript"/>
          <w:lang w:val="en-GB"/>
        </w:rPr>
        <w:t>1,2</w:t>
      </w:r>
      <w:r w:rsidRPr="00D33883">
        <w:rPr>
          <w:bCs/>
          <w:lang w:val="en-GB"/>
        </w:rPr>
        <w:t>, Tomasz Kwiatkowski</w:t>
      </w:r>
      <w:r w:rsidR="00D171D9" w:rsidRPr="00D33883">
        <w:rPr>
          <w:bCs/>
          <w:vertAlign w:val="superscript"/>
          <w:lang w:val="en-GB"/>
        </w:rPr>
        <w:t>3,</w:t>
      </w:r>
      <w:r w:rsidRPr="00D33883">
        <w:rPr>
          <w:bCs/>
          <w:lang w:val="en-GB"/>
        </w:rPr>
        <w:t xml:space="preserve"> Afaque Shams</w:t>
      </w:r>
      <w:r w:rsidRPr="00D33883">
        <w:rPr>
          <w:bCs/>
          <w:vertAlign w:val="superscript"/>
          <w:lang w:val="en-GB"/>
        </w:rPr>
        <w:t>1,2</w:t>
      </w:r>
    </w:p>
    <w:p w14:paraId="342BDEF1" w14:textId="77777777" w:rsidR="00D33883" w:rsidRPr="00D33883" w:rsidRDefault="00D33883" w:rsidP="00D33883">
      <w:pPr>
        <w:pStyle w:val="Affiliation"/>
        <w:rPr>
          <w:lang w:val="en-CA"/>
        </w:rPr>
      </w:pPr>
      <w:r w:rsidRPr="00D33883">
        <w:rPr>
          <w:i/>
          <w:iCs/>
          <w:vertAlign w:val="superscript"/>
        </w:rPr>
        <w:t>1</w:t>
      </w:r>
      <w:r w:rsidRPr="00D33883">
        <w:rPr>
          <w:i/>
          <w:iCs/>
        </w:rPr>
        <w:t xml:space="preserve"> Mechanical Engineering Department, KFUPM, Kingdom of Saudi Arabia</w:t>
      </w:r>
    </w:p>
    <w:p w14:paraId="121483FE" w14:textId="77777777" w:rsidR="00D33883" w:rsidRPr="00D33883" w:rsidRDefault="00D33883" w:rsidP="00D33883">
      <w:pPr>
        <w:pStyle w:val="Affiliation"/>
        <w:rPr>
          <w:lang w:val="en-CA"/>
        </w:rPr>
      </w:pPr>
      <w:r w:rsidRPr="00D33883">
        <w:rPr>
          <w:i/>
          <w:iCs/>
          <w:vertAlign w:val="superscript"/>
        </w:rPr>
        <w:t>2</w:t>
      </w:r>
      <w:r w:rsidRPr="00D33883">
        <w:rPr>
          <w:i/>
          <w:iCs/>
        </w:rPr>
        <w:t xml:space="preserve"> IRC for Industrial Nuclear Energy, KFUPM, Kingdom of Saudi Arabia</w:t>
      </w:r>
    </w:p>
    <w:p w14:paraId="381862D8" w14:textId="77777777" w:rsidR="00D33883" w:rsidRPr="00D33883" w:rsidRDefault="00D33883" w:rsidP="00D33883">
      <w:pPr>
        <w:pStyle w:val="Affiliation"/>
        <w:rPr>
          <w:lang w:val="en-CA"/>
        </w:rPr>
      </w:pPr>
      <w:r w:rsidRPr="00D33883">
        <w:rPr>
          <w:i/>
          <w:iCs/>
          <w:vertAlign w:val="superscript"/>
        </w:rPr>
        <w:t>3</w:t>
      </w:r>
      <w:r w:rsidRPr="00D33883">
        <w:rPr>
          <w:i/>
          <w:iCs/>
        </w:rPr>
        <w:t xml:space="preserve"> National Centre for Nuclear Research (NCBJ), Poland</w:t>
      </w:r>
    </w:p>
    <w:p w14:paraId="19D4BF22" w14:textId="7DF31F12" w:rsidR="00781B6A" w:rsidRPr="00D33883" w:rsidRDefault="00D33883" w:rsidP="00D33883">
      <w:pPr>
        <w:pStyle w:val="Affiliation"/>
        <w:rPr>
          <w:lang w:val="en-CA"/>
        </w:rPr>
      </w:pPr>
      <w:r w:rsidRPr="00D33883">
        <w:rPr>
          <w:i/>
          <w:iCs/>
          <w:vertAlign w:val="superscript"/>
        </w:rPr>
        <w:t>*</w:t>
      </w:r>
      <w:r w:rsidRPr="00D33883">
        <w:rPr>
          <w:i/>
          <w:iCs/>
        </w:rPr>
        <w:t>Email(s): g202313070@kfupm.edu.sa</w:t>
      </w:r>
    </w:p>
    <w:p w14:paraId="11B547DB" w14:textId="77777777" w:rsidR="00781B6A" w:rsidRDefault="00781B6A">
      <w:pPr>
        <w:pStyle w:val="Affiliation"/>
      </w:pPr>
    </w:p>
    <w:bookmarkEnd w:id="0"/>
    <w:p w14:paraId="7292617D" w14:textId="77777777" w:rsidR="00781B6A" w:rsidRPr="00BB7497" w:rsidRDefault="00781B6A">
      <w:pPr>
        <w:pStyle w:val="Header"/>
        <w:rPr>
          <w:sz w:val="22"/>
          <w:szCs w:val="22"/>
        </w:rPr>
        <w:sectPr w:rsidR="00781B6A" w:rsidRPr="00BB7497">
          <w:headerReference w:type="default" r:id="rId10"/>
          <w:footerReference w:type="default" r:id="rId11"/>
          <w:type w:val="continuous"/>
          <w:pgSz w:w="12240" w:h="15840"/>
          <w:pgMar w:top="1440" w:right="1080" w:bottom="1440" w:left="1080" w:header="432" w:footer="720" w:gutter="0"/>
          <w:cols w:space="720"/>
        </w:sectPr>
      </w:pPr>
    </w:p>
    <w:p w14:paraId="74B2FCCE" w14:textId="7E3F3D05"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 </w:t>
      </w:r>
      <w:r w:rsidR="00E93F48" w:rsidRPr="00BB7497">
        <w:rPr>
          <w:rFonts w:ascii="Times New Roman" w:hAnsi="Times New Roman"/>
          <w:caps w:val="0"/>
          <w:sz w:val="22"/>
          <w:szCs w:val="22"/>
        </w:rPr>
        <w:t>Introduction</w:t>
      </w:r>
    </w:p>
    <w:p w14:paraId="1FABB9EB" w14:textId="7E083DB3" w:rsidR="006062CC" w:rsidRDefault="00EB5BEE" w:rsidP="006062CC">
      <w:r>
        <w:t xml:space="preserve">         </w:t>
      </w:r>
      <w:r w:rsidR="006062CC">
        <w:t xml:space="preserve">Pressurized thermal shock happened in pressurized water reactors when cold fluid enters the hot downcomer region. This temperature difference leads to create stresses which cause a crack that propagate and cause an accident. In this work, Velocity profiles, temperature profiles, turbulent kinetic energy, and turbulent heat flux along the stream wise and spanwise directions are studied by using StarCCM + by Simens. and compared with direct numerical simulation (DNS) data. Seven different models are used. Two of them are linear eddy viscosity models: linear k Epsilon with low Re and linear SST k omega. In addition to, five nonlinear eddy viscosity models: cubic k Epsilon with low Re, cubic SST k omega, elliptic blending k epsilon, lag elliptic blending k epsilon, and elliptic blending Reynolds stress model. </w:t>
      </w:r>
    </w:p>
    <w:p w14:paraId="5C4893C8" w14:textId="77777777" w:rsidR="00781B6A" w:rsidRPr="00BB7497" w:rsidRDefault="00781B6A">
      <w:pPr>
        <w:pStyle w:val="BodyTextIndent"/>
        <w:rPr>
          <w:sz w:val="22"/>
          <w:szCs w:val="22"/>
        </w:rPr>
      </w:pPr>
    </w:p>
    <w:p w14:paraId="0DA134B0" w14:textId="369C4119" w:rsidR="00781B6A" w:rsidRPr="00BB7497" w:rsidRDefault="00781B6A" w:rsidP="00A10119">
      <w:pPr>
        <w:suppressLineNumbers/>
        <w:spacing w:line="360" w:lineRule="auto"/>
        <w:rPr>
          <w:sz w:val="22"/>
          <w:szCs w:val="22"/>
        </w:rPr>
      </w:pPr>
      <w:r w:rsidRPr="00B05554">
        <w:rPr>
          <w:b/>
          <w:sz w:val="22"/>
          <w:szCs w:val="22"/>
        </w:rPr>
        <w:t xml:space="preserve">II. </w:t>
      </w:r>
      <w:r w:rsidR="00B05554" w:rsidRPr="00B05554">
        <w:rPr>
          <w:b/>
          <w:sz w:val="22"/>
          <w:szCs w:val="22"/>
        </w:rPr>
        <w:t xml:space="preserve">Numerical Methods </w:t>
      </w:r>
    </w:p>
    <w:p w14:paraId="4CAF9EB0" w14:textId="7FB47669" w:rsidR="00781B6A" w:rsidRDefault="00781B6A" w:rsidP="00A73779">
      <w:pPr>
        <w:pStyle w:val="BodyTextIndent"/>
        <w:jc w:val="left"/>
        <w:rPr>
          <w:b/>
          <w:bCs/>
          <w:i/>
          <w:iCs/>
          <w:sz w:val="22"/>
          <w:szCs w:val="22"/>
        </w:rPr>
      </w:pPr>
      <w:r w:rsidRPr="00BB7497">
        <w:rPr>
          <w:b/>
          <w:bCs/>
          <w:i/>
          <w:iCs/>
          <w:sz w:val="22"/>
          <w:szCs w:val="22"/>
        </w:rPr>
        <w:t xml:space="preserve">II.A. </w:t>
      </w:r>
      <w:r w:rsidR="00A10119">
        <w:rPr>
          <w:b/>
          <w:bCs/>
          <w:i/>
          <w:iCs/>
          <w:sz w:val="22"/>
          <w:szCs w:val="22"/>
        </w:rPr>
        <w:t>Geometry</w:t>
      </w:r>
    </w:p>
    <w:p w14:paraId="211FE39B" w14:textId="324F0408" w:rsidR="008C7216" w:rsidRDefault="008C7216" w:rsidP="00EB5BEE">
      <w:pPr>
        <w:suppressLineNumbers/>
        <w:ind w:firstLine="360"/>
      </w:pPr>
      <w:r w:rsidRPr="007220EA">
        <w:t xml:space="preserve">The geometry considered in this work is the simplified pressurized thermal shock case as per the DNS reference database </w:t>
      </w:r>
      <w:r w:rsidRPr="007220EA">
        <w:fldChar w:fldCharType="begin" w:fldLock="1"/>
      </w:r>
      <w:r w:rsidRPr="007220EA">
        <w:instrText>ADDIN CSL_CITATION {"citationItems":[{"id":"ITEM-1","itemData":{"DOI":"10.1016/j.ijheatmasstransfer.2019.01.144","ISSN":"00179310","abstract":"Direct numerical simulation (DNS) is carried out using a high order spectral element method in order to analyse the flow and thermal fields in a Pressurized Thermal Shock (PTS) scenario. The adopted configuration is representative of a simplified reactor pressure vessel. It consists of a square duct that intersects perpendicularly with a rectangular vessel (downcomer). Cold water is injected from the square duct. It impinges against the wall of the downcomer that contains water at higher temperature, and a mixing between the cold and hot water occurs in the downcomer. The fluid properties are assumed to be constant; hence the temperature is treated as a passive scalar. A secondary flow inlet in the upper part of the downcomer is used to mimic the effect of density driven flow. The friction Reynolds number in the duct equals to 180, and a unitary Prandtl number of the fluid is used. The thermal field is solved with two types of boundary conditions, i.e., iso-thermal and adiabatic conditions, which encompass the two extreme scenarios of a conjugate heat transfer problem. A careful meshing strategy is adopted and the mesh resolution is verified a posteriori in order to meet DNS quality. The mean flow and turbulent statistics are analysed first, and a particular attention is devoted to the analysis of the vortical structures at the edges of the duct flow. The instantaneous flow field is then analysed in order to study the turbulent structure and the vorticity field within the impingement region. The mean temperature and the turbulent statistics of the thermal fields are subsequently analysed for both thermal boundary conditions. The case with iso-thermal boundary condition corresponds to the initial phase of the thermal mixing during a PTS scenario. It is characterized by the presence of cold fluid near the impinging wall and pockets of fluid at higher temperature near the exit of the duct. Regions with large temperature fluctuations are observed near the edges of the duct and at the interface between the deflected impinging fluid and the descending fluid in the downcomer. The case with adiabatic boundary condition corresponds to the later stage of the thermal mixing during a PTS scenario in which a thermal equilibrium is reached. For this case, a region with lower temperature is observed in the downcomer within the impinging jet region and in the region below, whereas the fluid at higher temperature remains confined in the remaining part of the downcomer.","author":[{"dropping-particle":"","family":"Shams","given":"A.","non-dropping-particle":"","parse-names":false,"suffix":""},{"dropping-particle":"","family":"Santis","given":"D.","non-dropping-particle":"De","parse-names":false,"suffix":""},{"dropping-particle":"","family":"Rosa","given":"D.","non-dropping-particle":"","parse-names":false,"suffix":""},{"dropping-particle":"","family":"Kwiatkowski","given":"T.","non-dropping-particle":"","parse-names":false,"suffix":""},{"dropping-particle":"","family":"Komen","given":"E. J.M.","non-dropping-particle":"","parse-names":false,"suffix":""}],"container-title":"International Journal of Heat and Mass Transfer","id":"ITEM-1","issued":{"date-parts":[["2019"]]},"note":"Our reference of DNS for both of duct flow and PTS for Re = 5400.","page":"517-540","publisher":"Elsevier Ltd","title":"Direct numerical simulation of flow and heat transfer in a simplified pressurized thermal shock scenario","type":"article-journal","volume":"135"},"uris":["http://www.mendeley.com/documents/?uuid=22790913-2a86-4456-b7da-fced6e93a118"]}],"mendeley":{"formattedCitation":"[25]","plainTextFormattedCitation":"[25]","previouslyFormattedCitation":"[25]"},"properties":{"noteIndex":0},"schema":"https://github.com/citation-style-language/schema/raw/master/csl-citation.json"}</w:instrText>
      </w:r>
      <w:r w:rsidRPr="007220EA">
        <w:fldChar w:fldCharType="separate"/>
      </w:r>
      <w:r w:rsidRPr="007220EA">
        <w:t>[</w:t>
      </w:r>
      <w:r w:rsidR="00B0391B">
        <w:t>1</w:t>
      </w:r>
      <w:r w:rsidRPr="007220EA">
        <w:t>]</w:t>
      </w:r>
      <w:r w:rsidRPr="007220EA">
        <w:fldChar w:fldCharType="end"/>
      </w:r>
      <w:r w:rsidRPr="007220EA">
        <w:t xml:space="preserve"> as shown in Fig. 1. A translational periodic boundary condition is used through the square duct to generate the fully developed flow with a mass flow rate of 0.0756 kg/s. This flow rate corresponds to Reynolds number equal to 5400 and an inlet velocity of 0.00756 m/s. In addition, the duct and downcomer walls are assumed as an adiabatic no-slip boundary condition to ensure steady state simulation as discussed in [</w:t>
      </w:r>
      <w:r w:rsidR="00B0391B">
        <w:t>1</w:t>
      </w:r>
      <w:r w:rsidRPr="007220EA">
        <w:t xml:space="preserve">]. These flow parameters and fluid properties are listed in Table 1. </w:t>
      </w:r>
    </w:p>
    <w:p w14:paraId="27966AE5" w14:textId="77777777" w:rsidR="00D33883" w:rsidRDefault="00D33883" w:rsidP="00EB5BEE">
      <w:pPr>
        <w:suppressLineNumbers/>
        <w:ind w:firstLine="360"/>
      </w:pPr>
    </w:p>
    <w:p w14:paraId="52334123" w14:textId="77777777" w:rsidR="00AB3B3A" w:rsidRPr="00BB7497" w:rsidRDefault="00AB3B3A" w:rsidP="00AB3B3A">
      <w:pPr>
        <w:pStyle w:val="BodyTextIndent"/>
        <w:jc w:val="left"/>
        <w:rPr>
          <w:b/>
          <w:bCs/>
          <w:i/>
          <w:iCs/>
          <w:sz w:val="22"/>
          <w:szCs w:val="22"/>
        </w:rPr>
      </w:pPr>
      <w:r w:rsidRPr="00BB7497">
        <w:rPr>
          <w:b/>
          <w:bCs/>
          <w:i/>
          <w:iCs/>
          <w:sz w:val="22"/>
          <w:szCs w:val="22"/>
        </w:rPr>
        <w:t>II.</w:t>
      </w:r>
      <w:r>
        <w:rPr>
          <w:b/>
          <w:bCs/>
          <w:i/>
          <w:iCs/>
          <w:sz w:val="22"/>
          <w:szCs w:val="22"/>
        </w:rPr>
        <w:t>B</w:t>
      </w:r>
      <w:r w:rsidRPr="00BB7497">
        <w:rPr>
          <w:b/>
          <w:bCs/>
          <w:i/>
          <w:iCs/>
          <w:sz w:val="22"/>
          <w:szCs w:val="22"/>
        </w:rPr>
        <w:t xml:space="preserve">. </w:t>
      </w:r>
      <w:r>
        <w:rPr>
          <w:b/>
          <w:bCs/>
          <w:i/>
          <w:iCs/>
          <w:sz w:val="22"/>
          <w:szCs w:val="22"/>
        </w:rPr>
        <w:t>Mesh</w:t>
      </w:r>
    </w:p>
    <w:p w14:paraId="1356B2B6" w14:textId="77777777" w:rsidR="00AB3B3A" w:rsidRPr="00EB5BEE" w:rsidRDefault="00AB3B3A" w:rsidP="00D33883">
      <w:pPr>
        <w:suppressLineNumbers/>
        <w:ind w:firstLine="360"/>
      </w:pPr>
      <w:r w:rsidRPr="00EB5BEE">
        <w:t>Four different hexahedral meshes are studied for mesh sensitivity tests. The meshes are generated using the sweep method from the inlet face. Reducing the base element size for the inlet face and the swept element size in the streamwise direction by 15 % starting from 0.01 m and 0.0025 m, respectively, for mesh A is used as a pattern as listed in Table 2 . Also, the inflation is implemented with 13 layers, constant growth factors, and the first layer thickness to be half of y+ which correspond to 2.4×10­4 m from the wall.</w:t>
      </w:r>
    </w:p>
    <w:p w14:paraId="7A315914" w14:textId="77777777" w:rsidR="00AB3B3A" w:rsidRPr="007220EA" w:rsidRDefault="00AB3B3A" w:rsidP="00EB5BEE">
      <w:pPr>
        <w:suppressLineNumbers/>
        <w:ind w:firstLine="360"/>
      </w:pPr>
    </w:p>
    <w:p w14:paraId="5F6B7604" w14:textId="77777777" w:rsidR="008C7216" w:rsidRPr="007220EA" w:rsidRDefault="008C7216" w:rsidP="007220EA">
      <w:pPr>
        <w:suppressLineNumbers/>
        <w:jc w:val="center"/>
      </w:pPr>
      <w:r w:rsidRPr="007220EA">
        <w:rPr>
          <w:noProof/>
        </w:rPr>
        <w:drawing>
          <wp:inline distT="0" distB="0" distL="0" distR="0" wp14:anchorId="42EF8849" wp14:editId="6793028E">
            <wp:extent cx="2984181" cy="2048256"/>
            <wp:effectExtent l="0" t="0" r="6985" b="9525"/>
            <wp:docPr id="4" name="Picture 3" descr="A diagram of a rectangular object&#10;&#10;AI-generated content may be incorrect.">
              <a:extLst xmlns:a="http://schemas.openxmlformats.org/drawingml/2006/main">
                <a:ext uri="{FF2B5EF4-FFF2-40B4-BE49-F238E27FC236}">
                  <a16:creationId xmlns:a16="http://schemas.microsoft.com/office/drawing/2014/main" id="{FA5EA1DD-D08E-D370-3F24-02173C595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rectangular object&#10;&#10;AI-generated content may be incorrect.">
                      <a:extLst>
                        <a:ext uri="{FF2B5EF4-FFF2-40B4-BE49-F238E27FC236}">
                          <a16:creationId xmlns:a16="http://schemas.microsoft.com/office/drawing/2014/main" id="{FA5EA1DD-D08E-D370-3F24-02173C59552C}"/>
                        </a:ext>
                      </a:extLst>
                    </pic:cNvPr>
                    <pic:cNvPicPr>
                      <a:picLocks noChangeAspect="1"/>
                    </pic:cNvPicPr>
                  </pic:nvPicPr>
                  <pic:blipFill>
                    <a:blip r:embed="rId12"/>
                    <a:stretch>
                      <a:fillRect/>
                    </a:stretch>
                  </pic:blipFill>
                  <pic:spPr>
                    <a:xfrm>
                      <a:off x="0" y="0"/>
                      <a:ext cx="2984181" cy="2048256"/>
                    </a:xfrm>
                    <a:prstGeom prst="rect">
                      <a:avLst/>
                    </a:prstGeom>
                  </pic:spPr>
                </pic:pic>
              </a:graphicData>
            </a:graphic>
          </wp:inline>
        </w:drawing>
      </w:r>
    </w:p>
    <w:p w14:paraId="389B66F2" w14:textId="77777777" w:rsidR="008C7216" w:rsidRPr="007220EA" w:rsidRDefault="008C7216" w:rsidP="007220EA">
      <w:pPr>
        <w:suppressLineNumbers/>
        <w:jc w:val="center"/>
      </w:pPr>
    </w:p>
    <w:p w14:paraId="06AFF4AB" w14:textId="14F2EA6A" w:rsidR="008C7216" w:rsidRPr="00EB5BEE" w:rsidRDefault="008C7216" w:rsidP="00EB5BEE">
      <w:pPr>
        <w:pStyle w:val="BodyTextIndent"/>
        <w:jc w:val="center"/>
        <w:rPr>
          <w:i/>
          <w:iCs/>
        </w:rPr>
      </w:pPr>
      <w:r w:rsidRPr="00EB5BEE">
        <w:rPr>
          <w:i/>
          <w:iCs/>
        </w:rPr>
        <w:t xml:space="preserve">Figure 1: side and front views of the </w:t>
      </w:r>
      <w:r w:rsidR="007220EA" w:rsidRPr="00EB5BEE">
        <w:rPr>
          <w:i/>
          <w:iCs/>
        </w:rPr>
        <w:t>geometry used</w:t>
      </w:r>
      <w:r w:rsidRPr="00EB5BEE">
        <w:rPr>
          <w:i/>
          <w:iCs/>
        </w:rPr>
        <w:t xml:space="preserve"> for the modeling PTS.</w:t>
      </w:r>
    </w:p>
    <w:p w14:paraId="72F92EBE" w14:textId="77777777" w:rsidR="00EB5BEE" w:rsidRDefault="00EB5BEE" w:rsidP="00EB5BEE">
      <w:pPr>
        <w:pStyle w:val="BodyTextIndent"/>
        <w:ind w:firstLine="0"/>
        <w:rPr>
          <w:i/>
          <w:iCs/>
        </w:rPr>
      </w:pPr>
    </w:p>
    <w:p w14:paraId="2749FB92" w14:textId="25741FEB" w:rsidR="008C7216" w:rsidRPr="007220EA" w:rsidRDefault="008C7216" w:rsidP="00EB5BEE">
      <w:pPr>
        <w:pStyle w:val="BodyTextIndent"/>
        <w:ind w:firstLine="0"/>
        <w:jc w:val="center"/>
        <w:rPr>
          <w:i/>
          <w:iCs/>
        </w:rPr>
      </w:pPr>
      <w:r w:rsidRPr="007220EA">
        <w:rPr>
          <w:i/>
          <w:iCs/>
        </w:rPr>
        <w:t xml:space="preserve">Table 1: The flow parameters used for </w:t>
      </w:r>
      <w:r w:rsidR="007220EA" w:rsidRPr="007220EA">
        <w:rPr>
          <w:i/>
          <w:iCs/>
        </w:rPr>
        <w:t>fluid</w:t>
      </w:r>
      <w:r w:rsidRPr="007220EA">
        <w:rPr>
          <w:i/>
          <w:iCs/>
        </w:rPr>
        <w:t xml:space="preserve"> modeling</w:t>
      </w:r>
      <w:r w:rsidR="00EB5BEE">
        <w:rPr>
          <w:i/>
          <w:iCs/>
        </w:rPr>
        <w:t>.</w:t>
      </w:r>
    </w:p>
    <w:tbl>
      <w:tblPr>
        <w:tblW w:w="4668" w:type="dxa"/>
        <w:jc w:val="center"/>
        <w:tblCellMar>
          <w:left w:w="0" w:type="dxa"/>
          <w:right w:w="0" w:type="dxa"/>
        </w:tblCellMar>
        <w:tblLook w:val="0600" w:firstRow="0" w:lastRow="0" w:firstColumn="0" w:lastColumn="0" w:noHBand="1" w:noVBand="1"/>
      </w:tblPr>
      <w:tblGrid>
        <w:gridCol w:w="2694"/>
        <w:gridCol w:w="1974"/>
      </w:tblGrid>
      <w:tr w:rsidR="007220EA" w:rsidRPr="007220EA" w14:paraId="51F63456" w14:textId="77777777" w:rsidTr="007220EA">
        <w:trPr>
          <w:trHeight w:val="20"/>
          <w:jc w:val="center"/>
        </w:trPr>
        <w:tc>
          <w:tcPr>
            <w:tcW w:w="2694" w:type="dxa"/>
            <w:tcBorders>
              <w:top w:val="single" w:sz="8" w:space="0" w:color="000000"/>
              <w:left w:val="single" w:sz="8" w:space="0" w:color="000000"/>
              <w:bottom w:val="nil"/>
              <w:right w:val="nil"/>
            </w:tcBorders>
            <w:shd w:val="clear" w:color="auto" w:fill="008300"/>
            <w:tcMar>
              <w:top w:w="28" w:type="dxa"/>
              <w:left w:w="200" w:type="dxa"/>
              <w:bottom w:w="0" w:type="dxa"/>
              <w:right w:w="200" w:type="dxa"/>
            </w:tcMar>
            <w:hideMark/>
          </w:tcPr>
          <w:p w14:paraId="5C44D366" w14:textId="77777777" w:rsidR="008C7216" w:rsidRPr="00825845" w:rsidRDefault="008C7216" w:rsidP="007220EA">
            <w:pPr>
              <w:pStyle w:val="BodyTextIndent"/>
              <w:ind w:firstLine="0"/>
              <w:jc w:val="left"/>
            </w:pPr>
            <w:r w:rsidRPr="00825845">
              <w:t>Parameter</w:t>
            </w:r>
          </w:p>
        </w:tc>
        <w:tc>
          <w:tcPr>
            <w:tcW w:w="1974" w:type="dxa"/>
            <w:tcBorders>
              <w:top w:val="single" w:sz="8" w:space="0" w:color="000000"/>
              <w:left w:val="nil"/>
              <w:bottom w:val="nil"/>
              <w:right w:val="single" w:sz="8" w:space="0" w:color="000000"/>
            </w:tcBorders>
            <w:shd w:val="clear" w:color="auto" w:fill="008300"/>
            <w:tcMar>
              <w:top w:w="28" w:type="dxa"/>
              <w:left w:w="200" w:type="dxa"/>
              <w:bottom w:w="0" w:type="dxa"/>
              <w:right w:w="200" w:type="dxa"/>
            </w:tcMar>
            <w:hideMark/>
          </w:tcPr>
          <w:p w14:paraId="576ED535" w14:textId="77777777" w:rsidR="008C7216" w:rsidRPr="00825845" w:rsidRDefault="008C7216" w:rsidP="007220EA">
            <w:pPr>
              <w:ind w:firstLine="360"/>
              <w:jc w:val="center"/>
              <w:textAlignment w:val="top"/>
            </w:pPr>
            <w:r w:rsidRPr="00825845">
              <w:t>Value</w:t>
            </w:r>
          </w:p>
        </w:tc>
      </w:tr>
      <w:tr w:rsidR="007220EA" w:rsidRPr="007220EA" w14:paraId="25014E73"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6D42982A" w14:textId="77777777" w:rsidR="008C7216" w:rsidRPr="00825845" w:rsidRDefault="008C7216" w:rsidP="007220EA">
            <w:pPr>
              <w:pStyle w:val="BodyTextIndent"/>
              <w:ind w:firstLine="0"/>
              <w:jc w:val="left"/>
            </w:pPr>
            <w:r w:rsidRPr="00825845">
              <w:t>The edge length, DC</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2ED463B1" w14:textId="77777777" w:rsidR="008C7216" w:rsidRPr="00825845" w:rsidRDefault="008C7216" w:rsidP="007220EA">
            <w:pPr>
              <w:ind w:firstLine="360"/>
              <w:jc w:val="center"/>
              <w:textAlignment w:val="top"/>
            </w:pPr>
            <w:r w:rsidRPr="00825845">
              <w:t>10 cm</w:t>
            </w:r>
          </w:p>
        </w:tc>
      </w:tr>
      <w:tr w:rsidR="007220EA" w:rsidRPr="007220EA" w14:paraId="1F5FB7C9"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tcPr>
          <w:p w14:paraId="3E2B60C1" w14:textId="210930E2" w:rsidR="008C7216" w:rsidRPr="007220EA" w:rsidRDefault="008C7216" w:rsidP="007220EA">
            <w:pPr>
              <w:pStyle w:val="BodyTextIndent"/>
              <w:ind w:firstLine="0"/>
              <w:jc w:val="left"/>
            </w:pPr>
            <w:r w:rsidRPr="007220EA">
              <w:t xml:space="preserve">Duct </w:t>
            </w:r>
            <w:r w:rsidRPr="00825845">
              <w:t>Inlet velocity</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tcPr>
          <w:p w14:paraId="212B90D3" w14:textId="52925BCE" w:rsidR="008C7216" w:rsidRPr="007220EA" w:rsidRDefault="008C7216" w:rsidP="007220EA">
            <w:pPr>
              <w:ind w:firstLine="360"/>
              <w:jc w:val="center"/>
              <w:textAlignment w:val="top"/>
            </w:pPr>
            <w:r w:rsidRPr="00825845">
              <w:t>0.00756 m/s</w:t>
            </w:r>
          </w:p>
        </w:tc>
      </w:tr>
      <w:tr w:rsidR="007220EA" w:rsidRPr="007220EA" w14:paraId="100EB8D9"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361A5849" w14:textId="3BC64ABB" w:rsidR="008C7216" w:rsidRPr="00825845" w:rsidRDefault="008C7216" w:rsidP="007220EA">
            <w:pPr>
              <w:pStyle w:val="BodyTextIndent"/>
              <w:ind w:firstLine="0"/>
              <w:jc w:val="left"/>
            </w:pPr>
            <w:r w:rsidRPr="007220EA">
              <w:t xml:space="preserve">Downcomer </w:t>
            </w:r>
            <w:r w:rsidRPr="00825845">
              <w:t>Inlet velocity</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2BB9C030" w14:textId="53D8C8DF" w:rsidR="008C7216" w:rsidRPr="00825845" w:rsidRDefault="008C7216" w:rsidP="007220EA">
            <w:pPr>
              <w:ind w:firstLine="360"/>
              <w:jc w:val="center"/>
              <w:textAlignment w:val="top"/>
            </w:pPr>
            <w:r w:rsidRPr="00825845">
              <w:t>0.</w:t>
            </w:r>
            <w:r w:rsidRPr="007220EA">
              <w:t>0</w:t>
            </w:r>
            <w:r w:rsidRPr="00825845">
              <w:t>00756 m/s</w:t>
            </w:r>
          </w:p>
        </w:tc>
      </w:tr>
      <w:tr w:rsidR="007220EA" w:rsidRPr="007220EA" w14:paraId="69769A1B"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1FD61448" w14:textId="77777777" w:rsidR="008C7216" w:rsidRPr="00825845" w:rsidRDefault="008C7216" w:rsidP="007220EA">
            <w:pPr>
              <w:pStyle w:val="BodyTextIndent"/>
              <w:ind w:firstLine="0"/>
              <w:jc w:val="left"/>
            </w:pPr>
            <w:r w:rsidRPr="00825845">
              <w:t>Prandtl number, Pr</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72D4D184" w14:textId="77777777" w:rsidR="008C7216" w:rsidRPr="00825845" w:rsidRDefault="008C7216" w:rsidP="007220EA">
            <w:pPr>
              <w:ind w:firstLine="360"/>
              <w:jc w:val="center"/>
              <w:textAlignment w:val="top"/>
            </w:pPr>
            <w:r w:rsidRPr="00825845">
              <w:t>1</w:t>
            </w:r>
          </w:p>
        </w:tc>
      </w:tr>
      <w:tr w:rsidR="007220EA" w:rsidRPr="007220EA" w14:paraId="08EDBFF8"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0602E00B" w14:textId="77777777" w:rsidR="008C7216" w:rsidRPr="00825845" w:rsidRDefault="008C7216" w:rsidP="007220EA">
            <w:pPr>
              <w:pStyle w:val="BodyTextIndent"/>
              <w:ind w:firstLine="0"/>
              <w:jc w:val="left"/>
            </w:pPr>
            <w:r w:rsidRPr="00825845">
              <w:t>Density, ρ</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3759BE7E" w14:textId="77777777" w:rsidR="008C7216" w:rsidRPr="00825845" w:rsidRDefault="008C7216" w:rsidP="007220EA">
            <w:pPr>
              <w:ind w:firstLine="360"/>
              <w:jc w:val="center"/>
              <w:textAlignment w:val="top"/>
            </w:pPr>
            <w:r w:rsidRPr="00825845">
              <w:t>1000 kg/m3</w:t>
            </w:r>
          </w:p>
        </w:tc>
      </w:tr>
      <w:tr w:rsidR="007220EA" w:rsidRPr="007220EA" w14:paraId="69ECC734"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23EA388E" w14:textId="77777777" w:rsidR="008C7216" w:rsidRPr="00825845" w:rsidRDefault="008C7216" w:rsidP="007220EA">
            <w:pPr>
              <w:pStyle w:val="BodyTextIndent"/>
              <w:ind w:firstLine="0"/>
              <w:jc w:val="left"/>
            </w:pPr>
            <w:r w:rsidRPr="00825845">
              <w:t>Viscosity, μ</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6B88608C" w14:textId="77777777" w:rsidR="008C7216" w:rsidRPr="00825845" w:rsidRDefault="008C7216" w:rsidP="007220EA">
            <w:pPr>
              <w:ind w:firstLine="360"/>
              <w:jc w:val="center"/>
              <w:textAlignment w:val="top"/>
            </w:pPr>
            <m:oMath>
              <m:r>
                <m:rPr>
                  <m:sty m:val="p"/>
                </m:rPr>
                <w:rPr>
                  <w:rFonts w:ascii="Cambria Math" w:hAnsi="Cambria Math"/>
                </w:rPr>
                <m:t>1.4</m:t>
              </m:r>
              <m:r>
                <w:rPr>
                  <w:rFonts w:ascii="Cambria Math" w:hAnsi="Cambria Math"/>
                </w:rPr>
                <m:t>x</m:t>
              </m:r>
            </m:oMath>
            <w:r w:rsidRPr="00825845">
              <w:t>10-4 Pa.s</w:t>
            </w:r>
          </w:p>
        </w:tc>
      </w:tr>
      <w:tr w:rsidR="007220EA" w:rsidRPr="007220EA" w14:paraId="33AFD0F6"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3BA308E8" w14:textId="77777777" w:rsidR="008C7216" w:rsidRPr="00825845" w:rsidRDefault="008C7216" w:rsidP="007220EA">
            <w:pPr>
              <w:pStyle w:val="BodyTextIndent"/>
              <w:ind w:firstLine="0"/>
              <w:jc w:val="left"/>
            </w:pPr>
            <w:r w:rsidRPr="00825845">
              <w:t>Specific heat, Cp</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78997F26" w14:textId="77777777" w:rsidR="008C7216" w:rsidRPr="00825845" w:rsidRDefault="008C7216" w:rsidP="007220EA">
            <w:pPr>
              <w:ind w:firstLine="360"/>
              <w:jc w:val="center"/>
              <w:textAlignment w:val="top"/>
            </w:pPr>
            <w:r w:rsidRPr="00825845">
              <w:t>4200 J/(kg.K)</w:t>
            </w:r>
          </w:p>
        </w:tc>
      </w:tr>
      <w:tr w:rsidR="007220EA" w:rsidRPr="007220EA" w14:paraId="1BD97395"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7AF04674" w14:textId="77777777" w:rsidR="008C7216" w:rsidRPr="00825845" w:rsidRDefault="008C7216" w:rsidP="007220EA">
            <w:pPr>
              <w:pStyle w:val="BodyTextIndent"/>
              <w:ind w:firstLine="0"/>
              <w:jc w:val="left"/>
            </w:pPr>
            <w:r w:rsidRPr="00825845">
              <w:t>Thermal conductivity, k</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6ECBCF37" w14:textId="77777777" w:rsidR="008C7216" w:rsidRPr="00825845" w:rsidRDefault="008C7216" w:rsidP="007220EA">
            <w:pPr>
              <w:ind w:firstLine="360"/>
              <w:jc w:val="center"/>
              <w:textAlignment w:val="top"/>
            </w:pPr>
            <w:r w:rsidRPr="00825845">
              <w:t>0.588 W/(m.K)</w:t>
            </w:r>
          </w:p>
        </w:tc>
      </w:tr>
      <w:tr w:rsidR="007220EA" w:rsidRPr="007220EA" w14:paraId="176699E7" w14:textId="77777777" w:rsidTr="007220EA">
        <w:trPr>
          <w:trHeight w:val="20"/>
          <w:jc w:val="center"/>
        </w:trPr>
        <w:tc>
          <w:tcPr>
            <w:tcW w:w="2694" w:type="dxa"/>
            <w:tcBorders>
              <w:top w:val="nil"/>
              <w:left w:val="single" w:sz="8" w:space="0" w:color="000000"/>
              <w:bottom w:val="nil"/>
              <w:right w:val="nil"/>
            </w:tcBorders>
            <w:shd w:val="clear" w:color="auto" w:fill="F2F2F2"/>
            <w:tcMar>
              <w:top w:w="28" w:type="dxa"/>
              <w:left w:w="200" w:type="dxa"/>
              <w:bottom w:w="0" w:type="dxa"/>
              <w:right w:w="200" w:type="dxa"/>
            </w:tcMar>
            <w:hideMark/>
          </w:tcPr>
          <w:p w14:paraId="0033E5B0" w14:textId="77777777" w:rsidR="008C7216" w:rsidRPr="00825845" w:rsidRDefault="008C7216" w:rsidP="007220EA">
            <w:pPr>
              <w:pStyle w:val="BodyTextIndent"/>
              <w:ind w:firstLine="0"/>
              <w:jc w:val="left"/>
            </w:pPr>
            <w:r w:rsidRPr="00825845">
              <w:t>Cold Temperature</w:t>
            </w:r>
          </w:p>
        </w:tc>
        <w:tc>
          <w:tcPr>
            <w:tcW w:w="1974" w:type="dxa"/>
            <w:tcBorders>
              <w:top w:val="nil"/>
              <w:left w:val="nil"/>
              <w:bottom w:val="nil"/>
              <w:right w:val="single" w:sz="8" w:space="0" w:color="000000"/>
            </w:tcBorders>
            <w:shd w:val="clear" w:color="auto" w:fill="F2F2F2"/>
            <w:tcMar>
              <w:top w:w="28" w:type="dxa"/>
              <w:left w:w="200" w:type="dxa"/>
              <w:bottom w:w="0" w:type="dxa"/>
              <w:right w:w="200" w:type="dxa"/>
            </w:tcMar>
            <w:hideMark/>
          </w:tcPr>
          <w:p w14:paraId="61FF3A25" w14:textId="77777777" w:rsidR="008C7216" w:rsidRPr="00825845" w:rsidRDefault="008C7216" w:rsidP="007220EA">
            <w:pPr>
              <w:ind w:firstLine="360"/>
              <w:jc w:val="center"/>
              <w:textAlignment w:val="top"/>
            </w:pPr>
            <w:r w:rsidRPr="00825845">
              <w:t>300 K</w:t>
            </w:r>
          </w:p>
        </w:tc>
      </w:tr>
      <w:tr w:rsidR="007220EA" w:rsidRPr="007220EA" w14:paraId="313DF8B1" w14:textId="77777777" w:rsidTr="007220EA">
        <w:trPr>
          <w:trHeight w:val="20"/>
          <w:jc w:val="center"/>
        </w:trPr>
        <w:tc>
          <w:tcPr>
            <w:tcW w:w="2694" w:type="dxa"/>
            <w:tcBorders>
              <w:top w:val="nil"/>
              <w:left w:val="single" w:sz="8" w:space="0" w:color="000000"/>
              <w:bottom w:val="single" w:sz="8" w:space="0" w:color="000000"/>
              <w:right w:val="nil"/>
            </w:tcBorders>
            <w:shd w:val="clear" w:color="auto" w:fill="F2F2F2"/>
            <w:tcMar>
              <w:top w:w="28" w:type="dxa"/>
              <w:left w:w="200" w:type="dxa"/>
              <w:bottom w:w="0" w:type="dxa"/>
              <w:right w:w="200" w:type="dxa"/>
            </w:tcMar>
            <w:hideMark/>
          </w:tcPr>
          <w:p w14:paraId="562AE977" w14:textId="77777777" w:rsidR="008C7216" w:rsidRPr="00825845" w:rsidRDefault="008C7216" w:rsidP="007220EA">
            <w:pPr>
              <w:pStyle w:val="BodyTextIndent"/>
              <w:ind w:firstLine="0"/>
              <w:jc w:val="left"/>
            </w:pPr>
            <w:r w:rsidRPr="00825845">
              <w:t>Hot Temperature</w:t>
            </w:r>
          </w:p>
        </w:tc>
        <w:tc>
          <w:tcPr>
            <w:tcW w:w="1974" w:type="dxa"/>
            <w:tcBorders>
              <w:top w:val="nil"/>
              <w:left w:val="nil"/>
              <w:bottom w:val="single" w:sz="8" w:space="0" w:color="000000"/>
              <w:right w:val="single" w:sz="8" w:space="0" w:color="000000"/>
            </w:tcBorders>
            <w:shd w:val="clear" w:color="auto" w:fill="F2F2F2"/>
            <w:tcMar>
              <w:top w:w="28" w:type="dxa"/>
              <w:left w:w="200" w:type="dxa"/>
              <w:bottom w:w="0" w:type="dxa"/>
              <w:right w:w="200" w:type="dxa"/>
            </w:tcMar>
            <w:hideMark/>
          </w:tcPr>
          <w:p w14:paraId="474B5D10" w14:textId="77777777" w:rsidR="008C7216" w:rsidRPr="00825845" w:rsidRDefault="008C7216" w:rsidP="007220EA">
            <w:pPr>
              <w:ind w:firstLine="360"/>
              <w:jc w:val="center"/>
              <w:textAlignment w:val="top"/>
            </w:pPr>
            <w:r w:rsidRPr="00825845">
              <w:t>360 K</w:t>
            </w:r>
          </w:p>
        </w:tc>
      </w:tr>
    </w:tbl>
    <w:p w14:paraId="379EBDF6" w14:textId="77777777" w:rsidR="00EB5BEE" w:rsidRDefault="00EB5BEE" w:rsidP="00EB5BEE">
      <w:pPr>
        <w:suppressLineNumbers/>
      </w:pPr>
    </w:p>
    <w:p w14:paraId="1B1CB896" w14:textId="4F9AF2D5" w:rsidR="00D33883" w:rsidRDefault="00EB5BEE" w:rsidP="00D33883">
      <w:pPr>
        <w:pStyle w:val="BodyTextIndent"/>
        <w:ind w:firstLine="0"/>
        <w:jc w:val="center"/>
        <w:rPr>
          <w:i/>
          <w:iCs/>
        </w:rPr>
      </w:pPr>
      <w:r w:rsidRPr="00EB5BEE">
        <w:rPr>
          <w:i/>
          <w:iCs/>
        </w:rPr>
        <w:t xml:space="preserve">Table </w:t>
      </w:r>
      <w:r>
        <w:rPr>
          <w:i/>
          <w:iCs/>
        </w:rPr>
        <w:t>2</w:t>
      </w:r>
      <w:r w:rsidRPr="00EB5BEE">
        <w:rPr>
          <w:i/>
          <w:iCs/>
        </w:rPr>
        <w:t>: The statistics for the 4 meshes considered showing in the increment in element number</w:t>
      </w:r>
      <w:r w:rsidR="00D33883">
        <w:rPr>
          <w:i/>
          <w:iCs/>
        </w:rPr>
        <w:t>.</w:t>
      </w:r>
    </w:p>
    <w:p w14:paraId="13DFFDE6" w14:textId="77777777" w:rsidR="00D33883" w:rsidRPr="00EB5BEE" w:rsidRDefault="00D33883" w:rsidP="00D33883">
      <w:pPr>
        <w:pStyle w:val="BodyTextIndent"/>
        <w:ind w:firstLine="0"/>
        <w:jc w:val="center"/>
        <w:rPr>
          <w:i/>
          <w:iCs/>
        </w:rPr>
      </w:pPr>
    </w:p>
    <w:tbl>
      <w:tblPr>
        <w:tblStyle w:val="TableGrid"/>
        <w:tblW w:w="5103" w:type="dxa"/>
        <w:jc w:val="center"/>
        <w:tblLook w:val="04A0" w:firstRow="1" w:lastRow="0" w:firstColumn="1" w:lastColumn="0" w:noHBand="0" w:noVBand="1"/>
      </w:tblPr>
      <w:tblGrid>
        <w:gridCol w:w="616"/>
        <w:gridCol w:w="1167"/>
        <w:gridCol w:w="1251"/>
        <w:gridCol w:w="1049"/>
        <w:gridCol w:w="1020"/>
      </w:tblGrid>
      <w:tr w:rsidR="00EB5BEE" w:rsidRPr="00EB5BEE" w14:paraId="29565138" w14:textId="77777777" w:rsidTr="00D33883">
        <w:trPr>
          <w:jc w:val="center"/>
        </w:trPr>
        <w:tc>
          <w:tcPr>
            <w:tcW w:w="412" w:type="dxa"/>
          </w:tcPr>
          <w:p w14:paraId="3A4667C9" w14:textId="77777777" w:rsidR="00EB5BEE" w:rsidRPr="00EB5BEE" w:rsidRDefault="00EB5BEE" w:rsidP="00EB5BEE">
            <w:pPr>
              <w:jc w:val="center"/>
              <w:rPr>
                <w:rFonts w:ascii="Times New Roman" w:eastAsia="Batang" w:hAnsi="Times New Roman" w:cs="Times New Roman"/>
                <w:sz w:val="18"/>
                <w:szCs w:val="18"/>
                <w:lang w:val="en-US"/>
                <w14:ligatures w14:val="none"/>
              </w:rPr>
            </w:pPr>
          </w:p>
        </w:tc>
        <w:tc>
          <w:tcPr>
            <w:tcW w:w="1231" w:type="dxa"/>
          </w:tcPr>
          <w:p w14:paraId="3A0854A6"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Base element size</w:t>
            </w:r>
          </w:p>
        </w:tc>
        <w:tc>
          <w:tcPr>
            <w:tcW w:w="1251" w:type="dxa"/>
          </w:tcPr>
          <w:p w14:paraId="6CA43AD8"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Sweep element size</w:t>
            </w:r>
          </w:p>
        </w:tc>
        <w:tc>
          <w:tcPr>
            <w:tcW w:w="1189" w:type="dxa"/>
          </w:tcPr>
          <w:p w14:paraId="737268CD"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Inflation growth factor</w:t>
            </w:r>
          </w:p>
        </w:tc>
        <w:tc>
          <w:tcPr>
            <w:tcW w:w="1020" w:type="dxa"/>
          </w:tcPr>
          <w:p w14:paraId="072B75E4"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Total elements</w:t>
            </w:r>
          </w:p>
        </w:tc>
      </w:tr>
      <w:tr w:rsidR="00EB5BEE" w:rsidRPr="00EB5BEE" w14:paraId="2E46EA07" w14:textId="77777777" w:rsidTr="00D33883">
        <w:trPr>
          <w:jc w:val="center"/>
        </w:trPr>
        <w:tc>
          <w:tcPr>
            <w:tcW w:w="412" w:type="dxa"/>
          </w:tcPr>
          <w:p w14:paraId="6F769D52"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Mesh A</w:t>
            </w:r>
          </w:p>
        </w:tc>
        <w:tc>
          <w:tcPr>
            <w:tcW w:w="1231" w:type="dxa"/>
          </w:tcPr>
          <w:p w14:paraId="347E33AC"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0.01</w:t>
            </w:r>
          </w:p>
        </w:tc>
        <w:tc>
          <w:tcPr>
            <w:tcW w:w="1251" w:type="dxa"/>
          </w:tcPr>
          <w:p w14:paraId="68912214"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0.0025</w:t>
            </w:r>
          </w:p>
        </w:tc>
        <w:tc>
          <w:tcPr>
            <w:tcW w:w="1189" w:type="dxa"/>
          </w:tcPr>
          <w:p w14:paraId="22D535E1"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1.25</w:t>
            </w:r>
          </w:p>
        </w:tc>
        <w:tc>
          <w:tcPr>
            <w:tcW w:w="1020" w:type="dxa"/>
          </w:tcPr>
          <w:p w14:paraId="6880BFB1"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4,644,000</w:t>
            </w:r>
          </w:p>
        </w:tc>
      </w:tr>
      <w:tr w:rsidR="00EB5BEE" w:rsidRPr="00EB5BEE" w14:paraId="480EE6ED" w14:textId="77777777" w:rsidTr="00D33883">
        <w:trPr>
          <w:jc w:val="center"/>
        </w:trPr>
        <w:tc>
          <w:tcPr>
            <w:tcW w:w="412" w:type="dxa"/>
          </w:tcPr>
          <w:p w14:paraId="718CEAA1"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Mesh B</w:t>
            </w:r>
          </w:p>
        </w:tc>
        <w:tc>
          <w:tcPr>
            <w:tcW w:w="1231" w:type="dxa"/>
          </w:tcPr>
          <w:p w14:paraId="46120565"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0.0085</w:t>
            </w:r>
          </w:p>
        </w:tc>
        <w:tc>
          <w:tcPr>
            <w:tcW w:w="1251" w:type="dxa"/>
          </w:tcPr>
          <w:p w14:paraId="3C65C48A"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0.002125</w:t>
            </w:r>
          </w:p>
        </w:tc>
        <w:tc>
          <w:tcPr>
            <w:tcW w:w="1189" w:type="dxa"/>
          </w:tcPr>
          <w:p w14:paraId="2731BB99"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1.25</w:t>
            </w:r>
          </w:p>
        </w:tc>
        <w:tc>
          <w:tcPr>
            <w:tcW w:w="1020" w:type="dxa"/>
          </w:tcPr>
          <w:p w14:paraId="39F6B1C7"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6,028,680</w:t>
            </w:r>
          </w:p>
        </w:tc>
      </w:tr>
      <w:tr w:rsidR="00EB5BEE" w:rsidRPr="00EB5BEE" w14:paraId="18453771" w14:textId="77777777" w:rsidTr="00D33883">
        <w:trPr>
          <w:jc w:val="center"/>
        </w:trPr>
        <w:tc>
          <w:tcPr>
            <w:tcW w:w="412" w:type="dxa"/>
          </w:tcPr>
          <w:p w14:paraId="7EBDDE72"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Mesh C</w:t>
            </w:r>
          </w:p>
        </w:tc>
        <w:tc>
          <w:tcPr>
            <w:tcW w:w="1231" w:type="dxa"/>
          </w:tcPr>
          <w:p w14:paraId="550BBF23"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0.007225</w:t>
            </w:r>
          </w:p>
        </w:tc>
        <w:tc>
          <w:tcPr>
            <w:tcW w:w="1251" w:type="dxa"/>
          </w:tcPr>
          <w:p w14:paraId="3EB08824"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0.00180625</w:t>
            </w:r>
          </w:p>
        </w:tc>
        <w:tc>
          <w:tcPr>
            <w:tcW w:w="1189" w:type="dxa"/>
          </w:tcPr>
          <w:p w14:paraId="1563B289"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1.25</w:t>
            </w:r>
          </w:p>
        </w:tc>
        <w:tc>
          <w:tcPr>
            <w:tcW w:w="1020" w:type="dxa"/>
          </w:tcPr>
          <w:p w14:paraId="2CC4E300"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8,054,706</w:t>
            </w:r>
          </w:p>
        </w:tc>
      </w:tr>
      <w:tr w:rsidR="00EB5BEE" w:rsidRPr="00EB5BEE" w14:paraId="337F28E2" w14:textId="77777777" w:rsidTr="00D33883">
        <w:trPr>
          <w:jc w:val="center"/>
        </w:trPr>
        <w:tc>
          <w:tcPr>
            <w:tcW w:w="412" w:type="dxa"/>
          </w:tcPr>
          <w:p w14:paraId="326CA59F"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Mesh D</w:t>
            </w:r>
          </w:p>
        </w:tc>
        <w:tc>
          <w:tcPr>
            <w:tcW w:w="1231" w:type="dxa"/>
          </w:tcPr>
          <w:p w14:paraId="0D1A87C0"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0.00614125</w:t>
            </w:r>
          </w:p>
        </w:tc>
        <w:tc>
          <w:tcPr>
            <w:tcW w:w="1251" w:type="dxa"/>
          </w:tcPr>
          <w:p w14:paraId="4DD69310"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0.0015353125</w:t>
            </w:r>
          </w:p>
        </w:tc>
        <w:tc>
          <w:tcPr>
            <w:tcW w:w="1189" w:type="dxa"/>
          </w:tcPr>
          <w:p w14:paraId="3BD49D23"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1.25</w:t>
            </w:r>
          </w:p>
        </w:tc>
        <w:tc>
          <w:tcPr>
            <w:tcW w:w="1020" w:type="dxa"/>
          </w:tcPr>
          <w:p w14:paraId="669D16C3" w14:textId="77777777" w:rsidR="00EB5BEE" w:rsidRPr="00EB5BEE" w:rsidRDefault="00EB5BEE" w:rsidP="00EB5BEE">
            <w:pPr>
              <w:jc w:val="center"/>
              <w:rPr>
                <w:rFonts w:ascii="Times New Roman" w:eastAsia="Batang" w:hAnsi="Times New Roman" w:cs="Times New Roman"/>
                <w:sz w:val="18"/>
                <w:szCs w:val="18"/>
                <w:lang w:val="en-US"/>
                <w14:ligatures w14:val="none"/>
              </w:rPr>
            </w:pPr>
            <w:r w:rsidRPr="00EB5BEE">
              <w:rPr>
                <w:rFonts w:ascii="Times New Roman" w:eastAsia="Batang" w:hAnsi="Times New Roman" w:cs="Times New Roman"/>
                <w:sz w:val="18"/>
                <w:szCs w:val="18"/>
                <w:lang w:val="en-US"/>
                <w14:ligatures w14:val="none"/>
              </w:rPr>
              <w:t>11,224,102</w:t>
            </w:r>
          </w:p>
        </w:tc>
      </w:tr>
    </w:tbl>
    <w:p w14:paraId="40D9157E" w14:textId="319B9420" w:rsidR="0089302D" w:rsidRDefault="0089302D" w:rsidP="001B0E84">
      <w:pPr>
        <w:pStyle w:val="BodyTextIndent"/>
        <w:ind w:firstLine="0"/>
        <w:jc w:val="left"/>
        <w:rPr>
          <w:b/>
          <w:bCs/>
          <w:i/>
          <w:iCs/>
          <w:sz w:val="22"/>
          <w:szCs w:val="22"/>
        </w:rPr>
      </w:pPr>
    </w:p>
    <w:p w14:paraId="479F4C5D" w14:textId="77777777" w:rsidR="001B0E84" w:rsidRPr="00BB7497" w:rsidRDefault="001B0E84" w:rsidP="001B0E84">
      <w:pPr>
        <w:pStyle w:val="BodyTextIndent"/>
        <w:ind w:firstLine="0"/>
        <w:jc w:val="left"/>
        <w:rPr>
          <w:b/>
          <w:bCs/>
          <w:i/>
          <w:iCs/>
          <w:sz w:val="22"/>
          <w:szCs w:val="22"/>
        </w:rPr>
      </w:pPr>
    </w:p>
    <w:p w14:paraId="5F358825" w14:textId="61CFC5CD" w:rsidR="00911B4A" w:rsidRDefault="00911B4A" w:rsidP="00911B4A">
      <w:pPr>
        <w:suppressLineNumbers/>
        <w:ind w:firstLine="357"/>
      </w:pPr>
      <w:r w:rsidRPr="001B6B42">
        <w:t xml:space="preserve">Cubic standard </w:t>
      </w:r>
      <w:r w:rsidRPr="001B6B42">
        <w:rPr>
          <w:rFonts w:ascii="Cambria Math" w:hAnsi="Cambria Math" w:cs="Cambria Math"/>
        </w:rPr>
        <w:t>𝑘</w:t>
      </w:r>
      <w:r w:rsidRPr="001B6B42">
        <w:t xml:space="preserve"> − </w:t>
      </w:r>
      <w:r w:rsidRPr="001B6B42">
        <w:rPr>
          <w:rFonts w:ascii="Cambria Math" w:hAnsi="Cambria Math" w:cs="Cambria Math"/>
        </w:rPr>
        <w:t>𝜀</w:t>
      </w:r>
      <w:r w:rsidRPr="001B6B42">
        <w:t xml:space="preserve"> with low Re is used to do mesh sensitivity.</w:t>
      </w:r>
      <w:r>
        <w:t xml:space="preserve"> Whereas t</w:t>
      </w:r>
      <w:r w:rsidRPr="001B6B42">
        <w:t xml:space="preserve">he mean velocity and temperature profiles are compared through three different lines: line </w:t>
      </w:r>
      <w:r>
        <w:t>1</w:t>
      </w:r>
      <w:r w:rsidRPr="001B6B42">
        <w:t xml:space="preserve"> (Z*=0 and Y*=4)</w:t>
      </w:r>
      <w:r>
        <w:t xml:space="preserve">, </w:t>
      </w:r>
      <w:r w:rsidRPr="001B6B42">
        <w:t xml:space="preserve">line </w:t>
      </w:r>
      <w:r w:rsidR="00D33883">
        <w:t xml:space="preserve">2 </w:t>
      </w:r>
      <w:r w:rsidR="00D33883" w:rsidRPr="001B6B42">
        <w:t>(</w:t>
      </w:r>
      <w:r w:rsidRPr="001B6B42">
        <w:t xml:space="preserve">X*=0.5 and Y*=-16), line </w:t>
      </w:r>
      <w:r>
        <w:t>3</w:t>
      </w:r>
      <w:r w:rsidRPr="001B6B42">
        <w:t xml:space="preserve"> (X*=0.4 and Z*=0)</w:t>
      </w:r>
      <w:r>
        <w:t xml:space="preserve">. </w:t>
      </w:r>
      <w:r w:rsidRPr="005F0257">
        <w:t>The mesh sensitivity study shows that the error of velocity and temperature profiles is negligible especially between meshes C and D. This leads to choosing mesh C for further simulations.</w:t>
      </w:r>
    </w:p>
    <w:p w14:paraId="3B5737C8" w14:textId="77777777" w:rsidR="00911B4A" w:rsidRDefault="00911B4A" w:rsidP="00911B4A">
      <w:pPr>
        <w:suppressLineNumbers/>
        <w:ind w:firstLine="357"/>
      </w:pPr>
    </w:p>
    <w:p w14:paraId="1F23768F" w14:textId="5F8A7EF6" w:rsidR="00A10119" w:rsidRPr="00A10119" w:rsidRDefault="00911B4A" w:rsidP="00911B4A">
      <w:pPr>
        <w:suppressLineNumbers/>
        <w:spacing w:line="360" w:lineRule="auto"/>
        <w:ind w:firstLine="360"/>
        <w:rPr>
          <w:b/>
          <w:sz w:val="22"/>
          <w:szCs w:val="22"/>
        </w:rPr>
      </w:pPr>
      <w:r w:rsidRPr="001B6B42">
        <w:t xml:space="preserve"> </w:t>
      </w:r>
      <w:r w:rsidR="00781B6A" w:rsidRPr="00A10119">
        <w:rPr>
          <w:b/>
          <w:sz w:val="22"/>
          <w:szCs w:val="22"/>
        </w:rPr>
        <w:t xml:space="preserve">III. </w:t>
      </w:r>
      <w:r w:rsidR="00A10119" w:rsidRPr="00A10119">
        <w:rPr>
          <w:b/>
          <w:sz w:val="22"/>
          <w:szCs w:val="22"/>
        </w:rPr>
        <w:t xml:space="preserve">Turbulence Modelling </w:t>
      </w:r>
    </w:p>
    <w:p w14:paraId="4F7E55A6" w14:textId="77777777" w:rsidR="00D653EF" w:rsidRDefault="00D653EF" w:rsidP="00D653EF">
      <w:pPr>
        <w:suppressLineNumbers/>
        <w:ind w:firstLine="357"/>
      </w:pPr>
      <w:r w:rsidRPr="00D653EF">
        <w:t>For the incompressible Newtonian turbulent flow with constant viscosity, momentum equations will be written as follows</w:t>
      </w:r>
    </w:p>
    <w:p w14:paraId="475FB19B" w14:textId="76FC0D63" w:rsidR="00D653EF" w:rsidRPr="00D653EF" w:rsidRDefault="00D653EF" w:rsidP="00D653EF">
      <w:pPr>
        <w:suppressLineNumbers/>
        <w:ind w:firstLine="357"/>
        <w:rPr>
          <w:sz w:val="18"/>
          <w:szCs w:val="18"/>
        </w:rPr>
      </w:pPr>
      <m:oMath>
        <m:r>
          <m:rPr>
            <m:sty m:val="p"/>
          </m:rPr>
          <w:rPr>
            <w:rFonts w:ascii="Cambria Math" w:hAnsi="Cambria Math"/>
          </w:rPr>
          <m:t xml:space="preserve">ρ </m:t>
        </m:r>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num>
          <m:den>
            <m:r>
              <m:rPr>
                <m:sty m:val="p"/>
              </m:rPr>
              <w:rPr>
                <w:rFonts w:ascii="Cambria Math" w:hAnsi="Cambria Math"/>
              </w:rPr>
              <m:t>Dt</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∂p</m:t>
            </m:r>
          </m:num>
          <m:den>
            <m:r>
              <m:rPr>
                <m:sty m:val="p"/>
              </m:rPr>
              <w:rPr>
                <w:rFonts w:ascii="Cambria Math" w:hAnsi="Cambria Math"/>
              </w:rPr>
              <m:t>∂i</m:t>
            </m:r>
          </m:den>
        </m:f>
        <m:r>
          <m:rPr>
            <m:sty m:val="p"/>
          </m:rPr>
          <w:rPr>
            <w:rFonts w:ascii="Cambria Math" w:hAnsi="Cambria Math"/>
          </w:rPr>
          <m:t>+μ</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num>
              <m:den>
                <m:sSup>
                  <m:sSupPr>
                    <m:ctrlPr>
                      <w:rPr>
                        <w:rFonts w:ascii="Cambria Math" w:hAnsi="Cambria Math"/>
                      </w:rPr>
                    </m:ctrlPr>
                  </m:sSupPr>
                  <m:e>
                    <m:r>
                      <m:rPr>
                        <m:sty m:val="p"/>
                      </m:rPr>
                      <w:rPr>
                        <w:rFonts w:ascii="Cambria Math" w:hAnsi="Cambria Math"/>
                      </w:rPr>
                      <m:t>∂x</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num>
              <m:den>
                <m:sSup>
                  <m:sSupPr>
                    <m:ctrlPr>
                      <w:rPr>
                        <w:rFonts w:ascii="Cambria Math" w:hAnsi="Cambria Math"/>
                      </w:rPr>
                    </m:ctrlPr>
                  </m:sSupPr>
                  <m:e>
                    <m:r>
                      <m:rPr>
                        <m:sty m:val="p"/>
                      </m:rPr>
                      <w:rPr>
                        <w:rFonts w:ascii="Cambria Math" w:hAnsi="Cambria Math"/>
                      </w:rPr>
                      <m:t>∂y</m:t>
                    </m:r>
                  </m:e>
                  <m:sup>
                    <m:r>
                      <m:rPr>
                        <m:sty m:val="p"/>
                      </m:rPr>
                      <w:rPr>
                        <w:rFonts w:ascii="Cambria Math" w:hAnsi="Cambria Math"/>
                      </w:rPr>
                      <m:t>2</m:t>
                    </m:r>
                  </m:sup>
                </m:sSup>
              </m:den>
            </m:f>
            <m:r>
              <m:rPr>
                <m:sty m:val="p"/>
              </m:rPr>
              <w:rPr>
                <w:rFonts w:ascii="Cambria Math" w:hAnsi="Cambria Math"/>
              </w:rPr>
              <m:t xml:space="preserve"> +</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num>
              <m:den>
                <m:sSup>
                  <m:sSupPr>
                    <m:ctrlPr>
                      <w:rPr>
                        <w:rFonts w:ascii="Cambria Math" w:hAnsi="Cambria Math"/>
                      </w:rPr>
                    </m:ctrlPr>
                  </m:sSupPr>
                  <m:e>
                    <m:r>
                      <m:rPr>
                        <m:sty m:val="p"/>
                      </m:rPr>
                      <w:rPr>
                        <w:rFonts w:ascii="Cambria Math" w:hAnsi="Cambria Math"/>
                      </w:rPr>
                      <m:t>∂z</m:t>
                    </m:r>
                  </m:e>
                  <m:sup>
                    <m:r>
                      <m:rPr>
                        <m:sty m:val="p"/>
                      </m:rPr>
                      <w:rPr>
                        <w:rFonts w:ascii="Cambria Math" w:hAnsi="Cambria Math"/>
                      </w:rPr>
                      <m:t>2</m:t>
                    </m:r>
                  </m:sup>
                </m:sSup>
              </m:den>
            </m:f>
          </m:e>
        </m:d>
        <m:r>
          <m:rPr>
            <m:sty m:val="p"/>
          </m:rPr>
          <w:rPr>
            <w:rFonts w:ascii="Cambria Math" w:hAnsi="Cambria Math"/>
          </w:rPr>
          <m:t>+ρ</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i</m:t>
            </m:r>
          </m:sub>
        </m:sSub>
        <m:r>
          <m:rPr>
            <m:sty m:val="p"/>
          </m:rPr>
          <w:rPr>
            <w:rFonts w:ascii="Cambria Math" w:hAnsi="Cambria Math"/>
          </w:rPr>
          <m:t>+ρ</m:t>
        </m:r>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m:rPr>
                            <m:sty m:val="p"/>
                          </m:rPr>
                          <w:rPr>
                            <w:rFonts w:ascii="Cambria Math" w:hAnsi="Cambria Math"/>
                          </w:rPr>
                          <m:t>(V</m:t>
                        </m:r>
                      </m:e>
                      <m:sup>
                        <m:r>
                          <m:rPr>
                            <m:sty m:val="p"/>
                          </m:rPr>
                          <w:rPr>
                            <w:rFonts w:ascii="Cambria Math" w:hAnsi="Cambria Math"/>
                          </w:rPr>
                          <m:t>'</m:t>
                        </m:r>
                      </m:sup>
                    </m:sSup>
                  </m:e>
                  <m:sub>
                    <m:r>
                      <w:rPr>
                        <w:rFonts w:ascii="Cambria Math" w:hAnsi="Cambria Math"/>
                      </w:rPr>
                      <m:t>x</m:t>
                    </m:r>
                  </m:sub>
                </m:sSub>
                <m:sSub>
                  <m:sSubPr>
                    <m:ctrlPr>
                      <w:rPr>
                        <w:rFonts w:ascii="Cambria Math" w:hAnsi="Cambria Math"/>
                      </w:rPr>
                    </m:ctrlPr>
                  </m:sSubPr>
                  <m:e>
                    <m:sSup>
                      <m:sSupPr>
                        <m:ctrlPr>
                          <w:rPr>
                            <w:rFonts w:ascii="Cambria Math" w:hAnsi="Cambria Math"/>
                          </w:rPr>
                        </m:ctrlPr>
                      </m:sSupPr>
                      <m:e>
                        <m:r>
                          <m:rPr>
                            <m:sty m:val="p"/>
                          </m:rPr>
                          <w:rPr>
                            <w:rFonts w:ascii="Cambria Math" w:hAnsi="Cambria Math"/>
                          </w:rPr>
                          <m:t>V</m:t>
                        </m:r>
                      </m:e>
                      <m:sup>
                        <m:r>
                          <m:rPr>
                            <m:sty m:val="p"/>
                          </m:rPr>
                          <w:rPr>
                            <w:rFonts w:ascii="Cambria Math" w:hAnsi="Cambria Math"/>
                          </w:rPr>
                          <m:t>'</m:t>
                        </m:r>
                      </m:sup>
                    </m:sSup>
                  </m:e>
                  <m:sub>
                    <m:r>
                      <m:rPr>
                        <m:sty m:val="p"/>
                      </m:rPr>
                      <w:rPr>
                        <w:rFonts w:ascii="Cambria Math" w:hAnsi="Cambria Math"/>
                      </w:rPr>
                      <m:t>i</m:t>
                    </m:r>
                  </m:sub>
                </m:sSub>
                <m:r>
                  <m:rPr>
                    <m:sty m:val="p"/>
                  </m:rPr>
                  <w:rPr>
                    <w:rFonts w:ascii="Cambria Math" w:hAnsi="Cambria Math"/>
                  </w:rPr>
                  <m:t>)</m:t>
                </m:r>
              </m:num>
              <m:den>
                <m:r>
                  <m:rPr>
                    <m:sty m:val="p"/>
                  </m:rP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d>
                  <m:dPr>
                    <m:ctrlPr>
                      <w:rPr>
                        <w:rFonts w:ascii="Cambria Math" w:hAnsi="Cambria Math"/>
                      </w:rPr>
                    </m:ctrlPr>
                  </m:dPr>
                  <m:e>
                    <m:sSub>
                      <m:sSubPr>
                        <m:ctrlPr>
                          <w:rPr>
                            <w:rFonts w:ascii="Cambria Math" w:hAnsi="Cambria Math"/>
                          </w:rPr>
                        </m:ctrlPr>
                      </m:sSubPr>
                      <m:e>
                        <m:sSup>
                          <m:sSupPr>
                            <m:ctrlPr>
                              <w:rPr>
                                <w:rFonts w:ascii="Cambria Math" w:hAnsi="Cambria Math"/>
                              </w:rPr>
                            </m:ctrlPr>
                          </m:sSupPr>
                          <m:e>
                            <m:r>
                              <m:rPr>
                                <m:sty m:val="p"/>
                              </m:rPr>
                              <w:rPr>
                                <w:rFonts w:ascii="Cambria Math" w:hAnsi="Cambria Math"/>
                              </w:rPr>
                              <m:t>V</m:t>
                            </m:r>
                          </m:e>
                          <m:sup>
                            <m:r>
                              <m:rPr>
                                <m:sty m:val="p"/>
                              </m:rPr>
                              <w:rPr>
                                <w:rFonts w:ascii="Cambria Math" w:hAnsi="Cambria Math"/>
                              </w:rPr>
                              <m:t>'</m:t>
                            </m:r>
                          </m:sup>
                        </m:sSup>
                      </m:e>
                      <m:sub>
                        <m:r>
                          <m:rPr>
                            <m:sty m:val="p"/>
                          </m:rPr>
                          <w:rPr>
                            <w:rFonts w:ascii="Cambria Math" w:hAnsi="Cambria Math"/>
                          </w:rPr>
                          <m:t>y</m:t>
                        </m:r>
                      </m:sub>
                    </m:sSub>
                    <m:sSub>
                      <m:sSubPr>
                        <m:ctrlPr>
                          <w:rPr>
                            <w:rFonts w:ascii="Cambria Math" w:hAnsi="Cambria Math"/>
                          </w:rPr>
                        </m:ctrlPr>
                      </m:sSubPr>
                      <m:e>
                        <m:sSup>
                          <m:sSupPr>
                            <m:ctrlPr>
                              <w:rPr>
                                <w:rFonts w:ascii="Cambria Math" w:hAnsi="Cambria Math"/>
                              </w:rPr>
                            </m:ctrlPr>
                          </m:sSupPr>
                          <m:e>
                            <m:r>
                              <m:rPr>
                                <m:sty m:val="p"/>
                              </m:rPr>
                              <w:rPr>
                                <w:rFonts w:ascii="Cambria Math" w:hAnsi="Cambria Math"/>
                              </w:rPr>
                              <m:t>V</m:t>
                            </m:r>
                          </m:e>
                          <m:sup>
                            <m:r>
                              <m:rPr>
                                <m:sty m:val="p"/>
                              </m:rPr>
                              <w:rPr>
                                <w:rFonts w:ascii="Cambria Math" w:hAnsi="Cambria Math"/>
                              </w:rPr>
                              <m:t>'</m:t>
                            </m:r>
                          </m:sup>
                        </m:sSup>
                      </m:e>
                      <m:sub>
                        <m:r>
                          <m:rPr>
                            <m:sty m:val="p"/>
                          </m:rPr>
                          <w:rPr>
                            <w:rFonts w:ascii="Cambria Math" w:hAnsi="Cambria Math"/>
                          </w:rPr>
                          <m:t>i</m:t>
                        </m:r>
                      </m:sub>
                    </m:sSub>
                  </m:e>
                </m:d>
              </m:num>
              <m:den>
                <m:r>
                  <m:rPr>
                    <m:sty m:val="p"/>
                  </m:rPr>
                  <w:rPr>
                    <w:rFonts w:ascii="Cambria Math" w:hAnsi="Cambria Math"/>
                  </w:rPr>
                  <m:t>∂y</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d>
                  <m:dPr>
                    <m:ctrlPr>
                      <w:rPr>
                        <w:rFonts w:ascii="Cambria Math" w:hAnsi="Cambria Math"/>
                      </w:rPr>
                    </m:ctrlPr>
                  </m:dPr>
                  <m:e>
                    <m:sSub>
                      <m:sSubPr>
                        <m:ctrlPr>
                          <w:rPr>
                            <w:rFonts w:ascii="Cambria Math" w:hAnsi="Cambria Math"/>
                          </w:rPr>
                        </m:ctrlPr>
                      </m:sSubPr>
                      <m:e>
                        <m:sSup>
                          <m:sSupPr>
                            <m:ctrlPr>
                              <w:rPr>
                                <w:rFonts w:ascii="Cambria Math" w:hAnsi="Cambria Math"/>
                              </w:rPr>
                            </m:ctrlPr>
                          </m:sSupPr>
                          <m:e>
                            <m:r>
                              <m:rPr>
                                <m:sty m:val="p"/>
                              </m:rPr>
                              <w:rPr>
                                <w:rFonts w:ascii="Cambria Math" w:hAnsi="Cambria Math"/>
                              </w:rPr>
                              <m:t>V</m:t>
                            </m:r>
                          </m:e>
                          <m:sup>
                            <m:r>
                              <m:rPr>
                                <m:sty m:val="p"/>
                              </m:rPr>
                              <w:rPr>
                                <w:rFonts w:ascii="Cambria Math" w:hAnsi="Cambria Math"/>
                              </w:rPr>
                              <m:t>'</m:t>
                            </m:r>
                          </m:sup>
                        </m:sSup>
                      </m:e>
                      <m:sub>
                        <m:r>
                          <m:rPr>
                            <m:sty m:val="p"/>
                          </m:rPr>
                          <w:rPr>
                            <w:rFonts w:ascii="Cambria Math" w:hAnsi="Cambria Math"/>
                          </w:rPr>
                          <m:t>z</m:t>
                        </m:r>
                      </m:sub>
                    </m:sSub>
                    <m:sSub>
                      <m:sSubPr>
                        <m:ctrlPr>
                          <w:rPr>
                            <w:rFonts w:ascii="Cambria Math" w:hAnsi="Cambria Math"/>
                          </w:rPr>
                        </m:ctrlPr>
                      </m:sSubPr>
                      <m:e>
                        <m:sSup>
                          <m:sSupPr>
                            <m:ctrlPr>
                              <w:rPr>
                                <w:rFonts w:ascii="Cambria Math" w:hAnsi="Cambria Math"/>
                              </w:rPr>
                            </m:ctrlPr>
                          </m:sSupPr>
                          <m:e>
                            <m:r>
                              <m:rPr>
                                <m:sty m:val="p"/>
                              </m:rPr>
                              <w:rPr>
                                <w:rFonts w:ascii="Cambria Math" w:hAnsi="Cambria Math"/>
                              </w:rPr>
                              <m:t>V</m:t>
                            </m:r>
                          </m:e>
                          <m:sup>
                            <m:r>
                              <m:rPr>
                                <m:sty m:val="p"/>
                              </m:rPr>
                              <w:rPr>
                                <w:rFonts w:ascii="Cambria Math" w:hAnsi="Cambria Math"/>
                              </w:rPr>
                              <m:t>'</m:t>
                            </m:r>
                          </m:sup>
                        </m:sSup>
                      </m:e>
                      <m:sub>
                        <m:r>
                          <m:rPr>
                            <m:sty m:val="p"/>
                          </m:rPr>
                          <w:rPr>
                            <w:rFonts w:ascii="Cambria Math" w:hAnsi="Cambria Math"/>
                          </w:rPr>
                          <m:t>i</m:t>
                        </m:r>
                      </m:sub>
                    </m:sSub>
                  </m:e>
                </m:d>
              </m:num>
              <m:den>
                <m:r>
                  <m:rPr>
                    <m:sty m:val="p"/>
                  </m:rPr>
                  <w:rPr>
                    <w:rFonts w:ascii="Cambria Math" w:hAnsi="Cambria Math"/>
                  </w:rPr>
                  <m:t>∂z</m:t>
                </m:r>
              </m:den>
            </m:f>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 xml:space="preserve"> ρkI</m:t>
        </m:r>
      </m:oMath>
      <w:r>
        <w:rPr>
          <w:sz w:val="18"/>
          <w:szCs w:val="18"/>
        </w:rPr>
        <w:t xml:space="preserve">               </w:t>
      </w:r>
      <w:r w:rsidRPr="00D653EF">
        <w:t xml:space="preserve">  Eq. (1)</w:t>
      </w:r>
    </w:p>
    <w:p w14:paraId="3D2D5EAD" w14:textId="77777777" w:rsidR="00D653EF" w:rsidRPr="00D653EF" w:rsidRDefault="00D653EF" w:rsidP="00D653EF">
      <w:pPr>
        <w:suppressLineNumbers/>
      </w:pPr>
      <w:r w:rsidRPr="00D653EF">
        <w:t xml:space="preserve">Where i indicates the coordinates and </w:t>
      </w:r>
      <m:oMath>
        <m:r>
          <w:rPr>
            <w:rFonts w:ascii="Cambria Math" w:hAnsi="Cambria Math"/>
          </w:rPr>
          <m:t>ρ</m:t>
        </m:r>
        <m:r>
          <m:rPr>
            <m:sty m:val="p"/>
          </m:rPr>
          <w:rPr>
            <w:rFonts w:ascii="Cambria Math" w:hAnsi="Cambria Math"/>
          </w:rPr>
          <m:t xml:space="preserve">, </m:t>
        </m:r>
        <m:r>
          <w:rPr>
            <w:rFonts w:ascii="Cambria Math" w:hAnsi="Cambria Math"/>
          </w:rPr>
          <m:t>V</m:t>
        </m:r>
        <m:r>
          <m:rPr>
            <m:sty m:val="p"/>
          </m:rPr>
          <w:rPr>
            <w:rFonts w:ascii="Cambria Math" w:hAnsi="Cambria Math"/>
          </w:rPr>
          <m:t xml:space="preserve">, </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 xml:space="preserve">, </m:t>
        </m:r>
        <m:r>
          <w:rPr>
            <w:rFonts w:ascii="Cambria Math" w:hAnsi="Cambria Math"/>
          </w:rPr>
          <m:t>g</m:t>
        </m:r>
        <m:r>
          <m:rPr>
            <m:sty m:val="p"/>
          </m:rPr>
          <w:rPr>
            <w:rFonts w:ascii="Cambria Math" w:hAnsi="Cambria Math"/>
          </w:rPr>
          <m:t xml:space="preserve">, </m:t>
        </m:r>
        <m:r>
          <w:rPr>
            <w:rFonts w:ascii="Cambria Math" w:hAnsi="Cambria Math"/>
          </w:rPr>
          <m:t>k</m:t>
        </m:r>
        <m:r>
          <m:rPr>
            <m:sty m:val="p"/>
          </m:rPr>
          <w:rPr>
            <w:rFonts w:ascii="Cambria Math" w:hAnsi="Cambria Math"/>
          </w:rPr>
          <m:t xml:space="preserve">, </m:t>
        </m:r>
        <m:r>
          <w:rPr>
            <w:rFonts w:ascii="Cambria Math" w:hAnsi="Cambria Math"/>
          </w:rPr>
          <m:t>I</m:t>
        </m:r>
      </m:oMath>
      <w:r w:rsidRPr="00D653EF">
        <w:t xml:space="preserve"> are density, velocity, pressure, dynamic viscosity, gravity, turbulent kinetic energy, and the identity tensor, respectively.</w:t>
      </w:r>
    </w:p>
    <w:p w14:paraId="1095E4BF" w14:textId="77777777" w:rsidR="00D653EF" w:rsidRPr="00D653EF" w:rsidRDefault="00D653EF" w:rsidP="00D653EF">
      <w:pPr>
        <w:suppressLineNumbers/>
        <w:ind w:firstLine="357"/>
      </w:pPr>
    </w:p>
    <w:p w14:paraId="61753B51" w14:textId="3B75E123" w:rsidR="00D653EF" w:rsidRPr="00D653EF" w:rsidRDefault="00D653EF" w:rsidP="00D653EF">
      <w:pPr>
        <w:suppressLineNumbers/>
        <w:ind w:firstLine="357"/>
      </w:pPr>
      <w:r w:rsidRPr="00D653EF">
        <w:t>The second last term includes three terms that represent turbulent shear stress (</w:t>
      </w:r>
      <m:oMath>
        <m:sSub>
          <m:sSubPr>
            <m:ctrlPr>
              <w:rPr>
                <w:rFonts w:ascii="Cambria Math" w:hAnsi="Cambria Math"/>
              </w:rPr>
            </m:ctrlPr>
          </m:sSubPr>
          <m:e>
            <m:r>
              <w:rPr>
                <w:rFonts w:ascii="Cambria Math" w:hAnsi="Cambria Math"/>
              </w:rPr>
              <m:t>τ</m:t>
            </m:r>
          </m:e>
          <m:sub>
            <m:r>
              <w:rPr>
                <w:rFonts w:ascii="Cambria Math" w:hAnsi="Cambria Math"/>
              </w:rPr>
              <m:t>RANS</m:t>
            </m:r>
            <m:r>
              <m:rPr>
                <m:sty m:val="p"/>
              </m:rPr>
              <w:rPr>
                <w:rFonts w:ascii="Cambria Math" w:hAnsi="Cambria Math"/>
              </w:rPr>
              <m:t xml:space="preserve"> </m:t>
            </m:r>
          </m:sub>
        </m:sSub>
      </m:oMath>
      <w:r w:rsidRPr="00D653EF">
        <w:t xml:space="preserve">) which can be solved in two ways depending on the model used; namely the eddy viscosity model and the Reynolds stress transport model. The governing equations for each model are available in the manual user guide </w:t>
      </w:r>
      <w:r w:rsidRPr="00D653EF">
        <w:fldChar w:fldCharType="begin" w:fldLock="1"/>
      </w:r>
      <w:r w:rsidRPr="00D653EF">
        <w:instrText>ADDIN CSL_CITATION {"citationItems":[{"id":"ITEM-1","itemData":{"id":"ITEM-1","issued":{"date-parts":[["2023"]]},"number":"2306","publisher":"Siemens Inc.","title":"Siemens StarCCM+ 2306","type":"article"},"uris":["http://www.mendeley.com/documents/?uuid=551c91b6-b7dd-4a05-a257-2c9a8676d6df"]}],"mendeley":{"formattedCitation":"[26]","plainTextFormattedCitation":"[26]","previouslyFormattedCitation":"[26]"},"properties":{"noteIndex":0},"schema":"https://github.com/citation-style-language/schema/raw/master/csl-citation.json"}</w:instrText>
      </w:r>
      <w:r w:rsidRPr="00D653EF">
        <w:fldChar w:fldCharType="separate"/>
      </w:r>
      <w:r w:rsidRPr="00D653EF">
        <w:t>[</w:t>
      </w:r>
      <w:r w:rsidR="00B0391B">
        <w:t>2</w:t>
      </w:r>
      <w:r w:rsidRPr="00D653EF">
        <w:t>]</w:t>
      </w:r>
      <w:r w:rsidRPr="00D653EF">
        <w:fldChar w:fldCharType="end"/>
      </w:r>
      <w:r w:rsidRPr="00D653EF">
        <w:t xml:space="preserve">. In general, to calculate Reynolds shear stress, RSM has equations to solve them, while the other models </w:t>
      </w:r>
      <w:r>
        <w:t>use Boussinesq approximation.</w:t>
      </w:r>
    </w:p>
    <w:p w14:paraId="5991C99F" w14:textId="77777777" w:rsidR="00D653EF" w:rsidRPr="00D653EF" w:rsidRDefault="00D653EF" w:rsidP="00D653EF">
      <w:pPr>
        <w:suppressLineNumbers/>
      </w:pPr>
    </w:p>
    <w:p w14:paraId="48F0AF87" w14:textId="77777777" w:rsidR="00D653EF" w:rsidRPr="00D653EF" w:rsidRDefault="00D653EF" w:rsidP="00D653EF">
      <w:pPr>
        <w:suppressLineNumbers/>
        <w:ind w:firstLine="357"/>
      </w:pPr>
      <w:r w:rsidRPr="00D653EF">
        <w:t xml:space="preserve">For the eddy viscosity model, the Boussinesq approximation is used to calculate the Reynold shear stress as follows: </w:t>
      </w:r>
    </w:p>
    <w:p w14:paraId="548AB4EB" w14:textId="4471B4C4" w:rsidR="00D653EF" w:rsidRDefault="00000000" w:rsidP="00D653EF">
      <w:pPr>
        <w:suppressLineNumbers/>
        <w:ind w:firstLine="357"/>
      </w:pPr>
      <m:oMath>
        <m:sSub>
          <m:sSubPr>
            <m:ctrlPr>
              <w:rPr>
                <w:rFonts w:ascii="Cambria Math" w:hAnsi="Cambria Math"/>
              </w:rPr>
            </m:ctrlPr>
          </m:sSubPr>
          <m:e>
            <m:r>
              <w:rPr>
                <w:rFonts w:ascii="Cambria Math" w:hAnsi="Cambria Math"/>
              </w:rPr>
              <m:t>τ</m:t>
            </m:r>
          </m:e>
          <m:sub>
            <m:r>
              <w:rPr>
                <w:rFonts w:ascii="Cambria Math" w:hAnsi="Cambria Math"/>
              </w:rPr>
              <m:t>RANS</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µ</m:t>
            </m:r>
          </m:e>
          <m:sub>
            <m:r>
              <w:rPr>
                <w:rFonts w:ascii="Cambria Math" w:hAnsi="Cambria Math"/>
              </w:rPr>
              <m:t>τ</m:t>
            </m:r>
          </m:sub>
        </m:sSub>
        <m:r>
          <m:rPr>
            <m:sty m:val="p"/>
          </m:rPr>
          <w:rPr>
            <w:rFonts w:ascii="Cambria Math" w:hAnsi="Cambria Math"/>
          </w:rPr>
          <m:t xml:space="preserve"> </m:t>
        </m:r>
        <m:d>
          <m:dPr>
            <m:ctrlPr>
              <w:rPr>
                <w:rFonts w:ascii="Cambria Math" w:hAnsi="Cambria Math"/>
              </w:rPr>
            </m:ctrlPr>
          </m:dPr>
          <m:e>
            <m:r>
              <w:rPr>
                <w:rFonts w:ascii="Cambria Math" w:hAnsi="Cambria Math"/>
              </w:rPr>
              <m:t>∇</m:t>
            </m:r>
            <m:bar>
              <m:barPr>
                <m:pos m:val="top"/>
                <m:ctrlPr>
                  <w:rPr>
                    <w:rFonts w:ascii="Cambria Math" w:hAnsi="Cambria Math"/>
                  </w:rPr>
                </m:ctrlPr>
              </m:barPr>
              <m:e>
                <m:r>
                  <w:rPr>
                    <w:rFonts w:ascii="Cambria Math" w:hAnsi="Cambria Math"/>
                  </w:rPr>
                  <m:t>V</m:t>
                </m:r>
              </m:e>
            </m:bar>
            <m:r>
              <m:rPr>
                <m:sty m:val="p"/>
              </m:rPr>
              <w:rPr>
                <w:rFonts w:ascii="Cambria Math" w:hAnsi="Cambria Math"/>
              </w:rPr>
              <m:t>+</m:t>
            </m:r>
            <m:r>
              <w:rPr>
                <w:rFonts w:ascii="Cambria Math" w:hAnsi="Cambria Math"/>
              </w:rPr>
              <m:t>∇</m:t>
            </m:r>
            <m:sSup>
              <m:sSupPr>
                <m:ctrlPr>
                  <w:rPr>
                    <w:rFonts w:ascii="Cambria Math" w:hAnsi="Cambria Math"/>
                  </w:rPr>
                </m:ctrlPr>
              </m:sSupPr>
              <m:e>
                <m:bar>
                  <m:barPr>
                    <m:pos m:val="top"/>
                    <m:ctrlPr>
                      <w:rPr>
                        <w:rFonts w:ascii="Cambria Math" w:hAnsi="Cambria Math"/>
                      </w:rPr>
                    </m:ctrlPr>
                  </m:barPr>
                  <m:e>
                    <m:r>
                      <w:rPr>
                        <w:rFonts w:ascii="Cambria Math" w:hAnsi="Cambria Math"/>
                      </w:rPr>
                      <m:t>V</m:t>
                    </m:r>
                  </m:e>
                </m:bar>
              </m:e>
              <m:sup>
                <m:r>
                  <w:rPr>
                    <w:rFonts w:ascii="Cambria Math" w:hAnsi="Cambria Math"/>
                  </w:rPr>
                  <m:t>T</m:t>
                </m:r>
              </m:sup>
            </m:sSup>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m:rPr>
                    <m:sty m:val="p"/>
                  </m:rPr>
                  <w:rPr>
                    <w:rFonts w:ascii="Cambria Math" w:hAnsi="Cambria Math"/>
                  </w:rPr>
                  <m:t>µ</m:t>
                </m:r>
              </m:e>
              <m:sub>
                <m:r>
                  <w:rPr>
                    <w:rFonts w:ascii="Cambria Math" w:hAnsi="Cambria Math"/>
                  </w:rPr>
                  <m:t>τ</m:t>
                </m:r>
              </m:sub>
            </m:sSub>
            <m:r>
              <m:rPr>
                <m:sty m:val="p"/>
              </m:rPr>
              <w:rPr>
                <w:rFonts w:ascii="Cambria Math" w:hAnsi="Cambria Math"/>
              </w:rPr>
              <m:t xml:space="preserve"> </m:t>
            </m:r>
            <m:r>
              <w:rPr>
                <w:rFonts w:ascii="Cambria Math" w:hAnsi="Cambria Math"/>
              </w:rPr>
              <m:t>∇</m:t>
            </m:r>
            <m:r>
              <m:rPr>
                <m:sty m:val="p"/>
              </m:rPr>
              <w:rPr>
                <w:rFonts w:ascii="Cambria Math" w:hAnsi="Cambria Math"/>
              </w:rPr>
              <m:t>∙</m:t>
            </m:r>
            <m:bar>
              <m:barPr>
                <m:pos m:val="top"/>
                <m:ctrlPr>
                  <w:rPr>
                    <w:rFonts w:ascii="Cambria Math" w:hAnsi="Cambria Math"/>
                  </w:rPr>
                </m:ctrlPr>
              </m:barPr>
              <m:e>
                <m:r>
                  <w:rPr>
                    <w:rFonts w:ascii="Cambria Math" w:hAnsi="Cambria Math"/>
                  </w:rPr>
                  <m:t>V</m:t>
                </m:r>
              </m:e>
            </m:bar>
          </m:e>
        </m:d>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oMath>
      <w:r w:rsidR="00D653EF" w:rsidRPr="00D653EF">
        <w:t xml:space="preserve"> </w:t>
      </w:r>
      <w:r w:rsidR="00D653EF">
        <w:t xml:space="preserve">   </w:t>
      </w:r>
      <w:r w:rsidR="00D653EF" w:rsidRPr="00D653EF">
        <w:t xml:space="preserve">    Eq. (2)</w:t>
      </w:r>
    </w:p>
    <w:p w14:paraId="197632DE" w14:textId="77777777" w:rsidR="002F072B" w:rsidRPr="002F072B" w:rsidRDefault="002F072B" w:rsidP="00D653EF">
      <w:pPr>
        <w:suppressLineNumbers/>
        <w:ind w:firstLine="357"/>
        <w:rPr>
          <w:sz w:val="10"/>
          <w:szCs w:val="10"/>
        </w:rPr>
      </w:pPr>
    </w:p>
    <w:p w14:paraId="2665823E" w14:textId="2DD0D98A" w:rsidR="00B0391B" w:rsidRPr="00BB7497" w:rsidRDefault="00B0391B" w:rsidP="00B0391B">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IV. </w:t>
      </w:r>
      <w:r>
        <w:rPr>
          <w:rFonts w:ascii="Times New Roman" w:hAnsi="Times New Roman"/>
          <w:caps w:val="0"/>
          <w:sz w:val="22"/>
          <w:szCs w:val="22"/>
        </w:rPr>
        <w:t xml:space="preserve">Results and Discussion </w:t>
      </w:r>
    </w:p>
    <w:p w14:paraId="4A0B165B" w14:textId="03970600" w:rsidR="00B0391B" w:rsidRDefault="00B0391B" w:rsidP="007617B6">
      <w:pPr>
        <w:pStyle w:val="BodyTextIndent"/>
      </w:pPr>
      <w:r>
        <w:t xml:space="preserve">Two temperature distribution figures, </w:t>
      </w:r>
      <w:r w:rsidR="00081735" w:rsidRPr="007220EA">
        <w:t xml:space="preserve">Fig. </w:t>
      </w:r>
      <w:r w:rsidR="00081735">
        <w:t xml:space="preserve">2 and </w:t>
      </w:r>
      <w:r w:rsidR="00081735" w:rsidRPr="007220EA">
        <w:t xml:space="preserve">Fig. </w:t>
      </w:r>
      <w:r w:rsidR="00081735">
        <w:t>3</w:t>
      </w:r>
      <w:r w:rsidR="007617B6">
        <w:t>,</w:t>
      </w:r>
      <w:r>
        <w:t xml:space="preserve"> are put in this section. One for mesh sensitivity and another for different models results </w:t>
      </w:r>
      <w:r w:rsidR="007617B6">
        <w:t>compared with DNS at X* equals 0.4 and Z* equals 0.</w:t>
      </w:r>
    </w:p>
    <w:p w14:paraId="1FE4355D" w14:textId="45E9CC28" w:rsidR="00397708" w:rsidRPr="00397708" w:rsidRDefault="00397708" w:rsidP="002F072B">
      <w:pPr>
        <w:pStyle w:val="BodyTextIndent"/>
        <w:jc w:val="left"/>
        <w:rPr>
          <w:lang w:val="en-CA"/>
        </w:rPr>
      </w:pPr>
      <w:r w:rsidRPr="00397708">
        <w:rPr>
          <w:lang w:val="en-CA"/>
        </w:rPr>
        <w:drawing>
          <wp:inline distT="0" distB="0" distL="0" distR="0" wp14:anchorId="43514581" wp14:editId="2838FA62">
            <wp:extent cx="2819400" cy="1689100"/>
            <wp:effectExtent l="0" t="0" r="0" b="6350"/>
            <wp:docPr id="1077987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3305" cy="1691439"/>
                    </a:xfrm>
                    <a:prstGeom prst="rect">
                      <a:avLst/>
                    </a:prstGeom>
                    <a:noFill/>
                    <a:ln>
                      <a:noFill/>
                    </a:ln>
                  </pic:spPr>
                </pic:pic>
              </a:graphicData>
            </a:graphic>
          </wp:inline>
        </w:drawing>
      </w:r>
    </w:p>
    <w:p w14:paraId="7399F250" w14:textId="60B54308" w:rsidR="007617B6" w:rsidRDefault="002F072B" w:rsidP="002F072B">
      <w:pPr>
        <w:pStyle w:val="BodyTextIndent"/>
        <w:jc w:val="center"/>
      </w:pPr>
      <w:r w:rsidRPr="00EB5BEE">
        <w:rPr>
          <w:i/>
          <w:iCs/>
        </w:rPr>
        <w:t xml:space="preserve">Figure </w:t>
      </w:r>
      <w:r>
        <w:rPr>
          <w:i/>
          <w:iCs/>
        </w:rPr>
        <w:t>2: Mesh sensitivity result for temperature distribution at X*=0.4 and Z* =0.</w:t>
      </w:r>
    </w:p>
    <w:p w14:paraId="4439752B" w14:textId="40A7BB2D" w:rsidR="00B8373B" w:rsidRDefault="002F072B" w:rsidP="00B8373B">
      <w:pPr>
        <w:pStyle w:val="BodyTextIndent"/>
        <w:jc w:val="center"/>
      </w:pPr>
      <w:r>
        <w:rPr>
          <w:i/>
          <w:iCs/>
          <w:noProof/>
        </w:rPr>
        <w:drawing>
          <wp:inline distT="0" distB="0" distL="0" distR="0" wp14:anchorId="16910169" wp14:editId="458C08C3">
            <wp:extent cx="3022600" cy="1682750"/>
            <wp:effectExtent l="0" t="0" r="6350" b="0"/>
            <wp:docPr id="361850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2600" cy="1682750"/>
                    </a:xfrm>
                    <a:prstGeom prst="rect">
                      <a:avLst/>
                    </a:prstGeom>
                    <a:noFill/>
                    <a:ln>
                      <a:noFill/>
                    </a:ln>
                  </pic:spPr>
                </pic:pic>
              </a:graphicData>
            </a:graphic>
          </wp:inline>
        </w:drawing>
      </w:r>
      <w:r w:rsidR="007617B6" w:rsidRPr="007617B6">
        <w:rPr>
          <w:i/>
          <w:iCs/>
        </w:rPr>
        <w:t xml:space="preserve"> </w:t>
      </w:r>
      <w:r w:rsidR="00B8373B" w:rsidRPr="00EB5BEE">
        <w:rPr>
          <w:i/>
          <w:iCs/>
        </w:rPr>
        <w:t xml:space="preserve">Figure </w:t>
      </w:r>
      <w:r w:rsidR="00B8373B">
        <w:rPr>
          <w:i/>
          <w:iCs/>
        </w:rPr>
        <w:t>3</w:t>
      </w:r>
      <w:r w:rsidR="00B8373B">
        <w:rPr>
          <w:i/>
          <w:iCs/>
        </w:rPr>
        <w:t xml:space="preserve">: </w:t>
      </w:r>
      <w:r w:rsidR="00B8373B">
        <w:rPr>
          <w:i/>
          <w:iCs/>
        </w:rPr>
        <w:t>T</w:t>
      </w:r>
      <w:r w:rsidR="00B8373B">
        <w:rPr>
          <w:i/>
          <w:iCs/>
        </w:rPr>
        <w:t>emperature distribution at X*=0.4 and Z* =0</w:t>
      </w:r>
      <w:r w:rsidR="00B8373B">
        <w:rPr>
          <w:i/>
          <w:iCs/>
        </w:rPr>
        <w:t xml:space="preserve"> for the studied models </w:t>
      </w:r>
      <w:r w:rsidR="00F10DE2">
        <w:rPr>
          <w:i/>
          <w:iCs/>
        </w:rPr>
        <w:t>compared with</w:t>
      </w:r>
      <w:r w:rsidR="00B8373B">
        <w:rPr>
          <w:i/>
          <w:iCs/>
        </w:rPr>
        <w:t xml:space="preserve"> DNS</w:t>
      </w:r>
      <w:r w:rsidR="00D51046">
        <w:rPr>
          <w:i/>
          <w:iCs/>
        </w:rPr>
        <w:t xml:space="preserve"> data</w:t>
      </w:r>
      <w:r w:rsidR="00B8373B">
        <w:rPr>
          <w:i/>
          <w:iCs/>
        </w:rPr>
        <w:t>.</w:t>
      </w:r>
    </w:p>
    <w:p w14:paraId="24725F79" w14:textId="6B50C3B1" w:rsidR="007617B6" w:rsidRPr="00EB5BEE" w:rsidRDefault="007617B6" w:rsidP="007617B6">
      <w:pPr>
        <w:pStyle w:val="BodyTextIndent"/>
        <w:jc w:val="center"/>
        <w:rPr>
          <w:i/>
          <w:iCs/>
        </w:rPr>
      </w:pPr>
    </w:p>
    <w:p w14:paraId="2EE535F9" w14:textId="50A29E82" w:rsidR="00781B6A" w:rsidRPr="00BB7497" w:rsidRDefault="00781B6A" w:rsidP="00A73779">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V. </w:t>
      </w:r>
      <w:r w:rsidR="00A73779" w:rsidRPr="00BB7497">
        <w:rPr>
          <w:rFonts w:ascii="Times New Roman" w:hAnsi="Times New Roman"/>
          <w:caps w:val="0"/>
          <w:sz w:val="22"/>
          <w:szCs w:val="22"/>
        </w:rPr>
        <w:t>Conclusions</w:t>
      </w:r>
    </w:p>
    <w:p w14:paraId="2A545319" w14:textId="77777777" w:rsidR="00781B6A" w:rsidRPr="00BB7497" w:rsidRDefault="00781B6A">
      <w:pPr>
        <w:pStyle w:val="BodyTextIndent"/>
        <w:jc w:val="center"/>
        <w:rPr>
          <w:sz w:val="22"/>
          <w:szCs w:val="22"/>
        </w:rPr>
      </w:pPr>
    </w:p>
    <w:p w14:paraId="08D2F11E" w14:textId="0739EF2B" w:rsidR="00187B8F" w:rsidRDefault="00187B8F" w:rsidP="00187B8F">
      <w:pPr>
        <w:suppressLineNumbers/>
        <w:ind w:firstLine="357"/>
      </w:pPr>
      <w:r w:rsidRPr="00187B8F">
        <w:t xml:space="preserve">In general, four nonlinear eddy viscosity show ability to predict </w:t>
      </w:r>
      <w:r w:rsidR="00026103" w:rsidRPr="00187B8F">
        <w:t>DNS</w:t>
      </w:r>
      <w:r w:rsidRPr="00187B8F">
        <w:t xml:space="preserve"> profiles. These models are Lag EB k epsilon, EB k epsilon, RSM, and Cubic k epsilon with low RE. However, the accuracy of each model </w:t>
      </w:r>
      <w:r w:rsidR="00026103" w:rsidRPr="00187B8F">
        <w:t>changes</w:t>
      </w:r>
      <w:r w:rsidRPr="00187B8F">
        <w:t xml:space="preserve"> based on the parameter and location that are studied. </w:t>
      </w:r>
      <w:r w:rsidR="00337B00">
        <w:t>T</w:t>
      </w:r>
      <w:r w:rsidRPr="00187B8F">
        <w:t>he best model that give</w:t>
      </w:r>
      <w:r>
        <w:t xml:space="preserve"> the</w:t>
      </w:r>
      <w:r w:rsidRPr="00187B8F">
        <w:t xml:space="preserve"> lowest error for all profiles and locations</w:t>
      </w:r>
      <w:r w:rsidR="00337B00">
        <w:t xml:space="preserve"> is determined</w:t>
      </w:r>
      <w:r w:rsidRPr="00187B8F">
        <w:t>.</w:t>
      </w:r>
    </w:p>
    <w:p w14:paraId="07788661" w14:textId="28343DEC" w:rsidR="00187B8F" w:rsidRPr="00187B8F" w:rsidRDefault="00187B8F" w:rsidP="000D119F">
      <w:pPr>
        <w:suppressLineNumbers/>
        <w:ind w:firstLine="357"/>
      </w:pPr>
      <w:r w:rsidRPr="00187B8F">
        <w:br/>
      </w:r>
      <w:r>
        <w:t xml:space="preserve">      </w:t>
      </w:r>
      <w:r w:rsidRPr="00187B8F">
        <w:t xml:space="preserve">In conclusion, </w:t>
      </w:r>
      <w:r w:rsidR="00026103" w:rsidRPr="00187B8F">
        <w:t>lag</w:t>
      </w:r>
      <w:r w:rsidRPr="00187B8F">
        <w:t xml:space="preserve"> elliptic blending k epsilon </w:t>
      </w:r>
      <w:r w:rsidR="00337B00">
        <w:t xml:space="preserve">is </w:t>
      </w:r>
      <w:r w:rsidR="00026103">
        <w:t>recommended</w:t>
      </w:r>
      <w:r w:rsidRPr="00187B8F">
        <w:t xml:space="preserve"> to visualize the PTS scenario however it fails sometimes such as turbulent heat flux at Z0Y9 and Z0Y10. </w:t>
      </w:r>
    </w:p>
    <w:p w14:paraId="4C304CDC" w14:textId="3900EC4C" w:rsidR="00781B6A" w:rsidRPr="00BB7497" w:rsidRDefault="00A73779" w:rsidP="00A73779">
      <w:pPr>
        <w:pStyle w:val="AcknowledgmentsClauseTitle"/>
        <w:jc w:val="left"/>
        <w:rPr>
          <w:rFonts w:ascii="Times New Roman" w:hAnsi="Times New Roman"/>
          <w:sz w:val="22"/>
          <w:szCs w:val="22"/>
        </w:rPr>
      </w:pPr>
      <w:r w:rsidRPr="00BB7497">
        <w:rPr>
          <w:rFonts w:ascii="Times New Roman" w:hAnsi="Times New Roman"/>
          <w:caps w:val="0"/>
          <w:sz w:val="22"/>
          <w:szCs w:val="22"/>
        </w:rPr>
        <w:t>Acknowledgments</w:t>
      </w:r>
    </w:p>
    <w:p w14:paraId="10935B15" w14:textId="77777777" w:rsidR="00A73779" w:rsidRPr="00BB7497" w:rsidRDefault="00A73779" w:rsidP="00A73779">
      <w:pPr>
        <w:pStyle w:val="BodyTextIndent"/>
        <w:ind w:firstLine="0"/>
        <w:rPr>
          <w:sz w:val="22"/>
          <w:szCs w:val="22"/>
        </w:rPr>
      </w:pPr>
    </w:p>
    <w:p w14:paraId="4FB0E8F4" w14:textId="77777777" w:rsidR="00026103" w:rsidRPr="00026103" w:rsidRDefault="00026103" w:rsidP="00026103">
      <w:pPr>
        <w:pStyle w:val="BodyTextIndent"/>
        <w:rPr>
          <w:rFonts w:asciiTheme="majorBidi" w:eastAsiaTheme="minorHAnsi" w:hAnsiTheme="majorBidi" w:cstheme="majorBidi"/>
          <w:kern w:val="0"/>
          <w:sz w:val="22"/>
          <w:szCs w:val="22"/>
        </w:rPr>
      </w:pPr>
      <w:r w:rsidRPr="00026103">
        <w:rPr>
          <w:rFonts w:asciiTheme="majorBidi" w:eastAsiaTheme="minorHAnsi" w:hAnsiTheme="majorBidi" w:cstheme="majorBidi"/>
          <w:kern w:val="0"/>
          <w:sz w:val="22"/>
          <w:szCs w:val="22"/>
        </w:rPr>
        <w:t xml:space="preserve">The authors acknowledge the support provided by the Interdisciplinary Research Center for Industrial Nuclear Energy (IRC-INE) at King Fahd University of Petroleum &amp; Minerals (KFUPM) for providing support for this work. </w:t>
      </w:r>
    </w:p>
    <w:p w14:paraId="47B1ABC0" w14:textId="2D0462CA" w:rsidR="00781B6A" w:rsidRPr="00BB7497" w:rsidRDefault="00A73779">
      <w:pPr>
        <w:pStyle w:val="ReferencesClauseTitle"/>
        <w:jc w:val="center"/>
        <w:rPr>
          <w:rFonts w:ascii="Times New Roman" w:hAnsi="Times New Roman"/>
          <w:sz w:val="22"/>
          <w:szCs w:val="22"/>
        </w:rPr>
      </w:pPr>
      <w:r w:rsidRPr="00BB7497">
        <w:rPr>
          <w:rFonts w:ascii="Times New Roman" w:hAnsi="Times New Roman"/>
          <w:caps w:val="0"/>
          <w:sz w:val="22"/>
          <w:szCs w:val="22"/>
        </w:rPr>
        <w:t>References</w:t>
      </w:r>
    </w:p>
    <w:p w14:paraId="374C275A" w14:textId="77777777" w:rsidR="00781B6A" w:rsidRPr="007B0A22" w:rsidRDefault="00781B6A">
      <w:pPr>
        <w:pStyle w:val="BodyTextIndent"/>
        <w:ind w:firstLine="0"/>
      </w:pPr>
    </w:p>
    <w:p w14:paraId="1BD01F7F" w14:textId="7D29C5C7" w:rsidR="00026103" w:rsidRDefault="00026103" w:rsidP="00026103">
      <w:pPr>
        <w:pStyle w:val="ListParagraph"/>
        <w:widowControl w:val="0"/>
        <w:numPr>
          <w:ilvl w:val="0"/>
          <w:numId w:val="4"/>
        </w:numPr>
        <w:autoSpaceDE w:val="0"/>
        <w:autoSpaceDN w:val="0"/>
        <w:adjustRightInd w:val="0"/>
        <w:spacing w:line="360" w:lineRule="auto"/>
        <w:rPr>
          <w:rFonts w:asciiTheme="majorBidi" w:hAnsiTheme="majorBidi" w:cstheme="majorBidi"/>
          <w:noProof/>
        </w:rPr>
      </w:pPr>
      <w:r w:rsidRPr="00026103">
        <w:rPr>
          <w:rFonts w:asciiTheme="majorBidi" w:hAnsiTheme="majorBidi" w:cstheme="majorBidi"/>
          <w:noProof/>
        </w:rPr>
        <w:t xml:space="preserve">Shams, D. De Santis, D. Rosa, T. Kwiatkowski, and E. J. M. Komen, “Direct numerical simulation of flow and heat transfer in a simplified pressurized thermal shock scenario,” </w:t>
      </w:r>
      <w:r w:rsidRPr="00026103">
        <w:rPr>
          <w:rFonts w:asciiTheme="majorBidi" w:hAnsiTheme="majorBidi" w:cstheme="majorBidi"/>
          <w:i/>
          <w:iCs/>
          <w:noProof/>
        </w:rPr>
        <w:t>Int. J. Heat Mass Transf.</w:t>
      </w:r>
      <w:r w:rsidRPr="00026103">
        <w:rPr>
          <w:rFonts w:asciiTheme="majorBidi" w:hAnsiTheme="majorBidi" w:cstheme="majorBidi"/>
          <w:noProof/>
        </w:rPr>
        <w:t>, vol. 135, pp. 517–540, 2019, doi: 10.1016/j.ijheatmasstransfer.2019.01.144.</w:t>
      </w:r>
    </w:p>
    <w:p w14:paraId="17708275" w14:textId="77777777" w:rsidR="00026103" w:rsidRPr="00026103" w:rsidRDefault="00026103" w:rsidP="00026103">
      <w:pPr>
        <w:pStyle w:val="ListParagraph"/>
        <w:widowControl w:val="0"/>
        <w:autoSpaceDE w:val="0"/>
        <w:autoSpaceDN w:val="0"/>
        <w:adjustRightInd w:val="0"/>
        <w:spacing w:line="360" w:lineRule="auto"/>
        <w:rPr>
          <w:rFonts w:asciiTheme="majorBidi" w:hAnsiTheme="majorBidi" w:cstheme="majorBidi"/>
          <w:noProof/>
        </w:rPr>
      </w:pPr>
    </w:p>
    <w:p w14:paraId="17C7650F" w14:textId="38CD82DC" w:rsidR="00781B6A" w:rsidRPr="001F5B5A" w:rsidRDefault="00026103" w:rsidP="001F5B5A">
      <w:pPr>
        <w:pStyle w:val="ListParagraph"/>
        <w:widowControl w:val="0"/>
        <w:numPr>
          <w:ilvl w:val="0"/>
          <w:numId w:val="4"/>
        </w:numPr>
        <w:autoSpaceDE w:val="0"/>
        <w:autoSpaceDN w:val="0"/>
        <w:adjustRightInd w:val="0"/>
        <w:spacing w:line="360" w:lineRule="auto"/>
        <w:rPr>
          <w:rFonts w:asciiTheme="majorBidi" w:hAnsiTheme="majorBidi" w:cstheme="majorBidi"/>
          <w:noProof/>
        </w:rPr>
      </w:pPr>
      <w:r w:rsidRPr="00026103">
        <w:rPr>
          <w:rFonts w:asciiTheme="majorBidi" w:hAnsiTheme="majorBidi" w:cstheme="majorBidi"/>
          <w:noProof/>
        </w:rPr>
        <w:t>“Siemens StarCCM+ 2306.” Siemens Inc., 2023</w:t>
      </w:r>
      <w:r w:rsidR="001F5B5A">
        <w:rPr>
          <w:rFonts w:asciiTheme="majorBidi" w:hAnsiTheme="majorBidi" w:cstheme="majorBidi"/>
          <w:noProof/>
        </w:rPr>
        <w:t>.</w:t>
      </w:r>
    </w:p>
    <w:sectPr w:rsidR="00781B6A" w:rsidRPr="001F5B5A" w:rsidSect="00D964A7">
      <w:footerReference w:type="default" r:id="rId15"/>
      <w:type w:val="continuous"/>
      <w:pgSz w:w="12240" w:h="15840"/>
      <w:pgMar w:top="1440" w:right="1080" w:bottom="1440" w:left="1080" w:header="432" w:footer="720" w:gutter="0"/>
      <w:cols w:num="2" w:space="540" w:equalWidth="0">
        <w:col w:w="4770" w:space="540"/>
        <w:col w:w="47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E458" w14:textId="77777777" w:rsidR="00EC289B" w:rsidRDefault="00EC289B">
      <w:r>
        <w:separator/>
      </w:r>
    </w:p>
  </w:endnote>
  <w:endnote w:type="continuationSeparator" w:id="0">
    <w:p w14:paraId="4BA44F68" w14:textId="77777777" w:rsidR="00EC289B" w:rsidRDefault="00EC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06444"/>
      <w:docPartObj>
        <w:docPartGallery w:val="Page Numbers (Bottom of Page)"/>
        <w:docPartUnique/>
      </w:docPartObj>
    </w:sdtPr>
    <w:sdtEndPr>
      <w:rPr>
        <w:noProof/>
      </w:rPr>
    </w:sdtEndPr>
    <w:sdtContent>
      <w:p w14:paraId="4BAE5E3E" w14:textId="0B93C50F" w:rsidR="00136502" w:rsidRDefault="00136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63B96" w14:textId="77777777" w:rsidR="00781B6A" w:rsidRDefault="00781B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2AA7" w14:textId="77777777" w:rsidR="00781B6A" w:rsidRDefault="00781B6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1064" w14:textId="77777777" w:rsidR="00EC289B" w:rsidRDefault="00EC289B">
      <w:r>
        <w:separator/>
      </w:r>
    </w:p>
  </w:footnote>
  <w:footnote w:type="continuationSeparator" w:id="0">
    <w:p w14:paraId="2C13C743" w14:textId="77777777" w:rsidR="00EC289B" w:rsidRDefault="00EC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8A31" w14:textId="61B622CC" w:rsidR="00310711" w:rsidRDefault="00E37DA7" w:rsidP="00310711">
    <w:pPr>
      <w:ind w:right="112"/>
      <w:rPr>
        <w:rFonts w:ascii="Calibri" w:hAnsi="Calibri" w:cs="Calibri"/>
        <w:spacing w:val="-4"/>
        <w:sz w:val="18"/>
        <w:szCs w:val="22"/>
      </w:rPr>
    </w:pPr>
    <w:r>
      <w:rPr>
        <w:rFonts w:ascii="Calibri" w:hAnsi="Calibri" w:cs="Calibri"/>
        <w:noProof/>
        <w:spacing w:val="-4"/>
        <w:sz w:val="18"/>
        <w:szCs w:val="22"/>
      </w:rPr>
      <w:drawing>
        <wp:anchor distT="0" distB="0" distL="114300" distR="114300" simplePos="0" relativeHeight="251658240" behindDoc="0" locked="0" layoutInCell="1" allowOverlap="1" wp14:anchorId="2361E2B9" wp14:editId="749BABF3">
          <wp:simplePos x="0" y="0"/>
          <wp:positionH relativeFrom="column">
            <wp:posOffset>0</wp:posOffset>
          </wp:positionH>
          <wp:positionV relativeFrom="paragraph">
            <wp:posOffset>0</wp:posOffset>
          </wp:positionV>
          <wp:extent cx="2956560" cy="53803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56560" cy="538037"/>
                  </a:xfrm>
                  <a:prstGeom prst="rect">
                    <a:avLst/>
                  </a:prstGeom>
                </pic:spPr>
              </pic:pic>
            </a:graphicData>
          </a:graphic>
        </wp:anchor>
      </w:drawing>
    </w:r>
    <w:r w:rsidR="00310711">
      <w:rPr>
        <w:rFonts w:ascii="Calibri" w:hAnsi="Calibri" w:cs="Calibri"/>
        <w:spacing w:val="-4"/>
        <w:sz w:val="18"/>
        <w:szCs w:val="22"/>
      </w:rPr>
      <w:t xml:space="preserve">                           </w:t>
    </w:r>
  </w:p>
  <w:p w14:paraId="0963291C" w14:textId="0E206B83" w:rsidR="001A7F8D" w:rsidRPr="000B12D5" w:rsidRDefault="00310711" w:rsidP="00310711">
    <w:pPr>
      <w:ind w:left="4320" w:right="112"/>
      <w:jc w:val="right"/>
      <w:rPr>
        <w:rFonts w:asciiTheme="majorBidi" w:hAnsiTheme="majorBidi" w:cstheme="majorBidi"/>
        <w:spacing w:val="-3"/>
        <w:sz w:val="18"/>
        <w:szCs w:val="22"/>
      </w:rPr>
    </w:pPr>
    <w:r>
      <w:rPr>
        <w:rFonts w:ascii="Calibri" w:hAnsi="Calibri" w:cs="Calibri"/>
        <w:spacing w:val="-4"/>
        <w:sz w:val="18"/>
        <w:szCs w:val="22"/>
      </w:rPr>
      <w:t xml:space="preserve">            </w:t>
    </w:r>
    <w:r w:rsidR="001A7F8D" w:rsidRPr="000B12D5">
      <w:rPr>
        <w:rFonts w:asciiTheme="majorBidi" w:hAnsiTheme="majorBidi" w:cstheme="majorBidi"/>
        <w:spacing w:val="-4"/>
        <w:sz w:val="18"/>
        <w:szCs w:val="22"/>
      </w:rPr>
      <w:t xml:space="preserve">Proceedings of </w:t>
    </w:r>
    <w:r w:rsidRPr="000B12D5">
      <w:rPr>
        <w:rFonts w:asciiTheme="majorBidi" w:hAnsiTheme="majorBidi" w:cstheme="majorBidi"/>
        <w:spacing w:val="-3"/>
        <w:sz w:val="18"/>
        <w:szCs w:val="22"/>
      </w:rPr>
      <w:t>SCOPE</w:t>
    </w:r>
  </w:p>
  <w:p w14:paraId="176AE24C" w14:textId="67E37822" w:rsidR="00781B6A" w:rsidRPr="000B12D5" w:rsidRDefault="00310711" w:rsidP="00310711">
    <w:pPr>
      <w:ind w:right="112"/>
      <w:jc w:val="right"/>
      <w:rPr>
        <w:rFonts w:asciiTheme="majorBidi" w:hAnsiTheme="majorBidi" w:cstheme="majorBidi"/>
        <w:sz w:val="18"/>
        <w:szCs w:val="22"/>
      </w:rPr>
    </w:pPr>
    <w:r w:rsidRPr="000B12D5">
      <w:rPr>
        <w:rFonts w:asciiTheme="majorBidi" w:hAnsiTheme="majorBidi" w:cstheme="majorBidi"/>
        <w:spacing w:val="-3"/>
        <w:sz w:val="18"/>
        <w:szCs w:val="22"/>
      </w:rPr>
      <w:t xml:space="preserve">                                                                    </w:t>
    </w:r>
    <w:r w:rsidR="008459EE">
      <w:rPr>
        <w:rFonts w:asciiTheme="majorBidi" w:hAnsiTheme="majorBidi" w:cstheme="majorBidi"/>
        <w:spacing w:val="-3"/>
        <w:sz w:val="18"/>
        <w:szCs w:val="22"/>
      </w:rPr>
      <w:t>2-6,</w:t>
    </w:r>
    <w:r w:rsidR="008459EE">
      <w:rPr>
        <w:rFonts w:asciiTheme="majorBidi" w:hAnsiTheme="majorBidi" w:cstheme="majorBidi"/>
        <w:spacing w:val="-9"/>
        <w:sz w:val="18"/>
        <w:szCs w:val="22"/>
      </w:rPr>
      <w:t xml:space="preserve"> </w:t>
    </w:r>
    <w:r w:rsidRPr="000B12D5">
      <w:rPr>
        <w:rFonts w:asciiTheme="majorBidi" w:hAnsiTheme="majorBidi" w:cstheme="majorBidi"/>
        <w:spacing w:val="-9"/>
        <w:sz w:val="18"/>
        <w:szCs w:val="22"/>
      </w:rPr>
      <w:t>Nov.</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202</w:t>
    </w:r>
    <w:r w:rsidR="008459EE">
      <w:rPr>
        <w:rFonts w:asciiTheme="majorBidi" w:hAnsiTheme="majorBidi" w:cstheme="majorBidi"/>
        <w:spacing w:val="-3"/>
        <w:sz w:val="18"/>
        <w:szCs w:val="22"/>
      </w:rPr>
      <w:t>5</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w:t>
    </w:r>
    <w:r w:rsidR="001A7F8D" w:rsidRPr="000B12D5">
      <w:rPr>
        <w:rFonts w:asciiTheme="majorBidi" w:hAnsiTheme="majorBidi" w:cstheme="majorBidi"/>
        <w:spacing w:val="-13"/>
        <w:sz w:val="18"/>
        <w:szCs w:val="22"/>
      </w:rPr>
      <w:t xml:space="preserve"> </w:t>
    </w:r>
    <w:r w:rsidRPr="000B12D5">
      <w:rPr>
        <w:rFonts w:asciiTheme="majorBidi" w:hAnsiTheme="majorBidi" w:cstheme="majorBidi"/>
        <w:sz w:val="18"/>
        <w:szCs w:val="22"/>
      </w:rPr>
      <w:t>KFUPM</w:t>
    </w:r>
  </w:p>
  <w:p w14:paraId="7B8603BE" w14:textId="68375B01" w:rsidR="00DE2928" w:rsidRPr="000B12D5" w:rsidRDefault="00DE2928" w:rsidP="00310711">
    <w:pPr>
      <w:ind w:right="112"/>
      <w:jc w:val="right"/>
      <w:rPr>
        <w:rFonts w:asciiTheme="majorBidi" w:hAnsiTheme="majorBidi" w:cstheme="majorBidi"/>
        <w:sz w:val="18"/>
        <w:szCs w:val="22"/>
      </w:rPr>
    </w:pPr>
    <w:r w:rsidRPr="000B12D5">
      <w:rPr>
        <w:rFonts w:asciiTheme="majorBidi" w:hAnsiTheme="majorBidi" w:cstheme="majorBidi"/>
        <w:sz w:val="18"/>
        <w:szCs w:val="22"/>
      </w:rPr>
      <w:t>Paper 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57F6"/>
    <w:multiLevelType w:val="multilevel"/>
    <w:tmpl w:val="C3BA69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B6B3F0E"/>
    <w:multiLevelType w:val="hybridMultilevel"/>
    <w:tmpl w:val="1EB43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06D557C"/>
    <w:multiLevelType w:val="hybridMultilevel"/>
    <w:tmpl w:val="A3B49E2C"/>
    <w:lvl w:ilvl="0" w:tplc="005283B8">
      <w:start w:val="1"/>
      <w:numFmt w:val="upperLetter"/>
      <w:lvlText w:val="%1."/>
      <w:lvlJc w:val="left"/>
      <w:pPr>
        <w:ind w:left="840" w:hanging="4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78F04D4"/>
    <w:multiLevelType w:val="hybridMultilevel"/>
    <w:tmpl w:val="DA46619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D64443A"/>
    <w:multiLevelType w:val="hybridMultilevel"/>
    <w:tmpl w:val="40009232"/>
    <w:lvl w:ilvl="0" w:tplc="EED4BB3C">
      <w:start w:val="1"/>
      <w:numFmt w:val="bullet"/>
      <w:lvlText w:val="•"/>
      <w:lvlJc w:val="left"/>
      <w:pPr>
        <w:tabs>
          <w:tab w:val="num" w:pos="720"/>
        </w:tabs>
        <w:ind w:left="720" w:hanging="360"/>
      </w:pPr>
      <w:rPr>
        <w:rFonts w:ascii="Arial" w:hAnsi="Arial" w:hint="default"/>
      </w:rPr>
    </w:lvl>
    <w:lvl w:ilvl="1" w:tplc="8EF4D2D6" w:tentative="1">
      <w:start w:val="1"/>
      <w:numFmt w:val="bullet"/>
      <w:lvlText w:val="•"/>
      <w:lvlJc w:val="left"/>
      <w:pPr>
        <w:tabs>
          <w:tab w:val="num" w:pos="1440"/>
        </w:tabs>
        <w:ind w:left="1440" w:hanging="360"/>
      </w:pPr>
      <w:rPr>
        <w:rFonts w:ascii="Arial" w:hAnsi="Arial" w:hint="default"/>
      </w:rPr>
    </w:lvl>
    <w:lvl w:ilvl="2" w:tplc="156AC3CC" w:tentative="1">
      <w:start w:val="1"/>
      <w:numFmt w:val="bullet"/>
      <w:lvlText w:val="•"/>
      <w:lvlJc w:val="left"/>
      <w:pPr>
        <w:tabs>
          <w:tab w:val="num" w:pos="2160"/>
        </w:tabs>
        <w:ind w:left="2160" w:hanging="360"/>
      </w:pPr>
      <w:rPr>
        <w:rFonts w:ascii="Arial" w:hAnsi="Arial" w:hint="default"/>
      </w:rPr>
    </w:lvl>
    <w:lvl w:ilvl="3" w:tplc="1D86F62E" w:tentative="1">
      <w:start w:val="1"/>
      <w:numFmt w:val="bullet"/>
      <w:lvlText w:val="•"/>
      <w:lvlJc w:val="left"/>
      <w:pPr>
        <w:tabs>
          <w:tab w:val="num" w:pos="2880"/>
        </w:tabs>
        <w:ind w:left="2880" w:hanging="360"/>
      </w:pPr>
      <w:rPr>
        <w:rFonts w:ascii="Arial" w:hAnsi="Arial" w:hint="default"/>
      </w:rPr>
    </w:lvl>
    <w:lvl w:ilvl="4" w:tplc="E7CAE7AA" w:tentative="1">
      <w:start w:val="1"/>
      <w:numFmt w:val="bullet"/>
      <w:lvlText w:val="•"/>
      <w:lvlJc w:val="left"/>
      <w:pPr>
        <w:tabs>
          <w:tab w:val="num" w:pos="3600"/>
        </w:tabs>
        <w:ind w:left="3600" w:hanging="360"/>
      </w:pPr>
      <w:rPr>
        <w:rFonts w:ascii="Arial" w:hAnsi="Arial" w:hint="default"/>
      </w:rPr>
    </w:lvl>
    <w:lvl w:ilvl="5" w:tplc="F66E5A86" w:tentative="1">
      <w:start w:val="1"/>
      <w:numFmt w:val="bullet"/>
      <w:lvlText w:val="•"/>
      <w:lvlJc w:val="left"/>
      <w:pPr>
        <w:tabs>
          <w:tab w:val="num" w:pos="4320"/>
        </w:tabs>
        <w:ind w:left="4320" w:hanging="360"/>
      </w:pPr>
      <w:rPr>
        <w:rFonts w:ascii="Arial" w:hAnsi="Arial" w:hint="default"/>
      </w:rPr>
    </w:lvl>
    <w:lvl w:ilvl="6" w:tplc="39EC7136" w:tentative="1">
      <w:start w:val="1"/>
      <w:numFmt w:val="bullet"/>
      <w:lvlText w:val="•"/>
      <w:lvlJc w:val="left"/>
      <w:pPr>
        <w:tabs>
          <w:tab w:val="num" w:pos="5040"/>
        </w:tabs>
        <w:ind w:left="5040" w:hanging="360"/>
      </w:pPr>
      <w:rPr>
        <w:rFonts w:ascii="Arial" w:hAnsi="Arial" w:hint="default"/>
      </w:rPr>
    </w:lvl>
    <w:lvl w:ilvl="7" w:tplc="BF9C5B8A" w:tentative="1">
      <w:start w:val="1"/>
      <w:numFmt w:val="bullet"/>
      <w:lvlText w:val="•"/>
      <w:lvlJc w:val="left"/>
      <w:pPr>
        <w:tabs>
          <w:tab w:val="num" w:pos="5760"/>
        </w:tabs>
        <w:ind w:left="5760" w:hanging="360"/>
      </w:pPr>
      <w:rPr>
        <w:rFonts w:ascii="Arial" w:hAnsi="Arial" w:hint="default"/>
      </w:rPr>
    </w:lvl>
    <w:lvl w:ilvl="8" w:tplc="390CE292" w:tentative="1">
      <w:start w:val="1"/>
      <w:numFmt w:val="bullet"/>
      <w:lvlText w:val="•"/>
      <w:lvlJc w:val="left"/>
      <w:pPr>
        <w:tabs>
          <w:tab w:val="num" w:pos="6480"/>
        </w:tabs>
        <w:ind w:left="6480" w:hanging="360"/>
      </w:pPr>
      <w:rPr>
        <w:rFonts w:ascii="Arial" w:hAnsi="Arial" w:hint="default"/>
      </w:rPr>
    </w:lvl>
  </w:abstractNum>
  <w:num w:numId="1" w16cid:durableId="158350050">
    <w:abstractNumId w:val="1"/>
  </w:num>
  <w:num w:numId="2" w16cid:durableId="111362729">
    <w:abstractNumId w:val="0"/>
  </w:num>
  <w:num w:numId="3" w16cid:durableId="990645222">
    <w:abstractNumId w:val="4"/>
  </w:num>
  <w:num w:numId="4" w16cid:durableId="900746374">
    <w:abstractNumId w:val="3"/>
  </w:num>
  <w:num w:numId="5" w16cid:durableId="1574124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43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913B5D"/>
    <w:rsid w:val="00026103"/>
    <w:rsid w:val="00026943"/>
    <w:rsid w:val="00052CFC"/>
    <w:rsid w:val="00064E2D"/>
    <w:rsid w:val="00065AB0"/>
    <w:rsid w:val="00081735"/>
    <w:rsid w:val="000846E7"/>
    <w:rsid w:val="000B12D5"/>
    <w:rsid w:val="000D119F"/>
    <w:rsid w:val="00100D5D"/>
    <w:rsid w:val="00136502"/>
    <w:rsid w:val="0015418B"/>
    <w:rsid w:val="00162337"/>
    <w:rsid w:val="00187B8F"/>
    <w:rsid w:val="001A7F8D"/>
    <w:rsid w:val="001B0E84"/>
    <w:rsid w:val="001C0D7C"/>
    <w:rsid w:val="001E6C12"/>
    <w:rsid w:val="001F04AA"/>
    <w:rsid w:val="001F5B5A"/>
    <w:rsid w:val="00240349"/>
    <w:rsid w:val="00251BF7"/>
    <w:rsid w:val="0026712E"/>
    <w:rsid w:val="002726E2"/>
    <w:rsid w:val="002A4D97"/>
    <w:rsid w:val="002D2106"/>
    <w:rsid w:val="002F06E3"/>
    <w:rsid w:val="002F072B"/>
    <w:rsid w:val="00300569"/>
    <w:rsid w:val="00310711"/>
    <w:rsid w:val="00313CCF"/>
    <w:rsid w:val="0031516B"/>
    <w:rsid w:val="00337B00"/>
    <w:rsid w:val="003857DC"/>
    <w:rsid w:val="00385F97"/>
    <w:rsid w:val="003903CD"/>
    <w:rsid w:val="00397708"/>
    <w:rsid w:val="003B1751"/>
    <w:rsid w:val="00405270"/>
    <w:rsid w:val="004914F2"/>
    <w:rsid w:val="004B60DB"/>
    <w:rsid w:val="00514AC8"/>
    <w:rsid w:val="00547F17"/>
    <w:rsid w:val="00597468"/>
    <w:rsid w:val="005D37E8"/>
    <w:rsid w:val="005E4871"/>
    <w:rsid w:val="006062CC"/>
    <w:rsid w:val="00626278"/>
    <w:rsid w:val="00676FD7"/>
    <w:rsid w:val="006948D8"/>
    <w:rsid w:val="006B292F"/>
    <w:rsid w:val="007220EA"/>
    <w:rsid w:val="007617B6"/>
    <w:rsid w:val="00776CD3"/>
    <w:rsid w:val="00781B6A"/>
    <w:rsid w:val="007B0A22"/>
    <w:rsid w:val="008459EE"/>
    <w:rsid w:val="00846DD9"/>
    <w:rsid w:val="00867316"/>
    <w:rsid w:val="008732A0"/>
    <w:rsid w:val="00890B80"/>
    <w:rsid w:val="00891C89"/>
    <w:rsid w:val="0089302D"/>
    <w:rsid w:val="008B4EFF"/>
    <w:rsid w:val="008C7216"/>
    <w:rsid w:val="00911B4A"/>
    <w:rsid w:val="00913B5D"/>
    <w:rsid w:val="00961716"/>
    <w:rsid w:val="00973F33"/>
    <w:rsid w:val="009B071A"/>
    <w:rsid w:val="00A03C8F"/>
    <w:rsid w:val="00A0476B"/>
    <w:rsid w:val="00A10119"/>
    <w:rsid w:val="00A54BC9"/>
    <w:rsid w:val="00A61864"/>
    <w:rsid w:val="00A643C1"/>
    <w:rsid w:val="00A73779"/>
    <w:rsid w:val="00AB041E"/>
    <w:rsid w:val="00AB3B3A"/>
    <w:rsid w:val="00AE2B8F"/>
    <w:rsid w:val="00B029D3"/>
    <w:rsid w:val="00B0391B"/>
    <w:rsid w:val="00B05554"/>
    <w:rsid w:val="00B22151"/>
    <w:rsid w:val="00B8373B"/>
    <w:rsid w:val="00B851AA"/>
    <w:rsid w:val="00B90C92"/>
    <w:rsid w:val="00BB3255"/>
    <w:rsid w:val="00BB7497"/>
    <w:rsid w:val="00C13B01"/>
    <w:rsid w:val="00C16186"/>
    <w:rsid w:val="00C26700"/>
    <w:rsid w:val="00C322DD"/>
    <w:rsid w:val="00C6456E"/>
    <w:rsid w:val="00C963E8"/>
    <w:rsid w:val="00CC6C37"/>
    <w:rsid w:val="00CD18F8"/>
    <w:rsid w:val="00D015D4"/>
    <w:rsid w:val="00D171D9"/>
    <w:rsid w:val="00D33883"/>
    <w:rsid w:val="00D51046"/>
    <w:rsid w:val="00D532C6"/>
    <w:rsid w:val="00D653EF"/>
    <w:rsid w:val="00D77F91"/>
    <w:rsid w:val="00D85CDB"/>
    <w:rsid w:val="00D964A7"/>
    <w:rsid w:val="00DC1BE2"/>
    <w:rsid w:val="00DE2928"/>
    <w:rsid w:val="00DE5D45"/>
    <w:rsid w:val="00DF1936"/>
    <w:rsid w:val="00E065A9"/>
    <w:rsid w:val="00E37DA7"/>
    <w:rsid w:val="00E72B98"/>
    <w:rsid w:val="00E87866"/>
    <w:rsid w:val="00E93F48"/>
    <w:rsid w:val="00EB5BEE"/>
    <w:rsid w:val="00EC289B"/>
    <w:rsid w:val="00F10DE2"/>
    <w:rsid w:val="00F212F3"/>
    <w:rsid w:val="00F34F6E"/>
    <w:rsid w:val="00FE247B"/>
    <w:rsid w:val="00FF09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C1B45"/>
  <w15:docId w15:val="{628FD760-59D4-43E9-8A45-415E09A2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A7"/>
    <w:pPr>
      <w:suppressAutoHyphens/>
      <w:jc w:val="both"/>
    </w:pPr>
    <w:rPr>
      <w:kern w:val="14"/>
    </w:rPr>
  </w:style>
  <w:style w:type="paragraph" w:styleId="Heading1">
    <w:name w:val="heading 1"/>
    <w:basedOn w:val="Normal"/>
    <w:next w:val="Normal"/>
    <w:qFormat/>
    <w:rsid w:val="00D964A7"/>
    <w:pPr>
      <w:keepNext/>
      <w:jc w:val="center"/>
      <w:outlineLvl w:val="0"/>
    </w:pPr>
    <w:rPr>
      <w:i/>
      <w:iCs/>
    </w:rPr>
  </w:style>
  <w:style w:type="paragraph" w:styleId="Heading3">
    <w:name w:val="heading 3"/>
    <w:basedOn w:val="Normal"/>
    <w:next w:val="Normal"/>
    <w:link w:val="Heading3Char"/>
    <w:uiPriority w:val="9"/>
    <w:unhideWhenUsed/>
    <w:qFormat/>
    <w:rsid w:val="00D653EF"/>
    <w:pPr>
      <w:keepNext/>
      <w:keepLines/>
      <w:suppressAutoHyphens w:val="0"/>
      <w:spacing w:before="160" w:after="80" w:line="278" w:lineRule="auto"/>
      <w:jc w:val="left"/>
      <w:outlineLvl w:val="2"/>
    </w:pPr>
    <w:rPr>
      <w:rFonts w:asciiTheme="minorHAnsi" w:eastAsiaTheme="majorEastAsia" w:hAnsiTheme="minorHAnsi" w:cstheme="majorBidi"/>
      <w:color w:val="365F91" w:themeColor="accent1" w:themeShade="BF"/>
      <w:kern w:val="2"/>
      <w:sz w:val="28"/>
      <w:szCs w:val="28"/>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rsid w:val="00D964A7"/>
    <w:pPr>
      <w:keepNext/>
    </w:pPr>
    <w:rPr>
      <w:rFonts w:ascii="Arial" w:hAnsi="Arial"/>
      <w:b/>
      <w:caps/>
    </w:rPr>
  </w:style>
  <w:style w:type="paragraph" w:styleId="BodyTextIndent">
    <w:name w:val="Body Text Indent"/>
    <w:basedOn w:val="Normal"/>
    <w:link w:val="BodyTextIndentChar"/>
    <w:semiHidden/>
    <w:rsid w:val="00D964A7"/>
    <w:pPr>
      <w:ind w:firstLine="360"/>
    </w:pPr>
  </w:style>
  <w:style w:type="paragraph" w:customStyle="1" w:styleId="AcknowledgmentsClauseTitle">
    <w:name w:val="Acknowledgments Clause Title"/>
    <w:basedOn w:val="Normal"/>
    <w:next w:val="BodyTextIndent"/>
    <w:rsid w:val="00D964A7"/>
    <w:pPr>
      <w:keepNext/>
      <w:spacing w:before="240"/>
    </w:pPr>
    <w:rPr>
      <w:rFonts w:ascii="Arial" w:hAnsi="Arial"/>
      <w:b/>
      <w:caps/>
    </w:rPr>
  </w:style>
  <w:style w:type="paragraph" w:customStyle="1" w:styleId="Affiliation">
    <w:name w:val="Affiliation"/>
    <w:basedOn w:val="Normal"/>
    <w:rsid w:val="00D964A7"/>
    <w:pPr>
      <w:jc w:val="center"/>
    </w:pPr>
    <w:rPr>
      <w:rFonts w:ascii="Arial" w:hAnsi="Arial"/>
    </w:rPr>
  </w:style>
  <w:style w:type="paragraph" w:customStyle="1" w:styleId="Author">
    <w:name w:val="Author"/>
    <w:basedOn w:val="Normal"/>
    <w:next w:val="Affiliation"/>
    <w:rsid w:val="00D964A7"/>
    <w:pPr>
      <w:keepNext/>
      <w:jc w:val="center"/>
    </w:pPr>
    <w:rPr>
      <w:rFonts w:ascii="Arial" w:hAnsi="Arial"/>
      <w:b/>
    </w:rPr>
  </w:style>
  <w:style w:type="paragraph" w:customStyle="1" w:styleId="DocumentNumber">
    <w:name w:val="Document Number"/>
    <w:basedOn w:val="Normal"/>
    <w:next w:val="BodyTextIndent"/>
    <w:rsid w:val="00D964A7"/>
    <w:pPr>
      <w:spacing w:before="900"/>
      <w:jc w:val="right"/>
    </w:pPr>
    <w:rPr>
      <w:rFonts w:ascii="Arial" w:hAnsi="Arial"/>
      <w:b/>
      <w:sz w:val="36"/>
    </w:rPr>
  </w:style>
  <w:style w:type="paragraph" w:customStyle="1" w:styleId="EquationNumber">
    <w:name w:val="Equation Number"/>
    <w:basedOn w:val="Normal"/>
    <w:next w:val="BodyTextIndent"/>
    <w:rsid w:val="00D964A7"/>
    <w:pPr>
      <w:jc w:val="right"/>
    </w:pPr>
  </w:style>
  <w:style w:type="paragraph" w:customStyle="1" w:styleId="FigureCaption">
    <w:name w:val="Figure Caption"/>
    <w:basedOn w:val="Normal"/>
    <w:next w:val="BodyTextIndent"/>
    <w:rsid w:val="00D964A7"/>
    <w:pPr>
      <w:jc w:val="center"/>
    </w:pPr>
    <w:rPr>
      <w:rFonts w:ascii="Arial" w:hAnsi="Arial"/>
      <w:b/>
    </w:rPr>
  </w:style>
  <w:style w:type="paragraph" w:styleId="Footer">
    <w:name w:val="footer"/>
    <w:basedOn w:val="Normal"/>
    <w:next w:val="Header"/>
    <w:link w:val="FooterChar"/>
    <w:uiPriority w:val="99"/>
    <w:rsid w:val="00D964A7"/>
    <w:pPr>
      <w:tabs>
        <w:tab w:val="center" w:pos="5760"/>
        <w:tab w:val="right" w:pos="10800"/>
      </w:tabs>
    </w:pPr>
  </w:style>
  <w:style w:type="paragraph" w:styleId="Header">
    <w:name w:val="header"/>
    <w:basedOn w:val="Normal"/>
    <w:next w:val="Footer"/>
    <w:semiHidden/>
    <w:rsid w:val="00D964A7"/>
  </w:style>
  <w:style w:type="paragraph" w:styleId="FootnoteText">
    <w:name w:val="footnote text"/>
    <w:basedOn w:val="Normal"/>
    <w:semiHidden/>
    <w:rsid w:val="00D964A7"/>
    <w:pPr>
      <w:ind w:firstLine="360"/>
    </w:pPr>
    <w:rPr>
      <w:sz w:val="16"/>
    </w:rPr>
  </w:style>
  <w:style w:type="paragraph" w:customStyle="1" w:styleId="NomenclatureClauseTitle">
    <w:name w:val="Nomenclature Clause Title"/>
    <w:basedOn w:val="Normal"/>
    <w:next w:val="BodyTextIndent"/>
    <w:rsid w:val="00D964A7"/>
    <w:pPr>
      <w:keepNext/>
      <w:spacing w:before="240"/>
    </w:pPr>
    <w:rPr>
      <w:rFonts w:ascii="Arial" w:hAnsi="Arial"/>
      <w:b/>
      <w:caps/>
    </w:rPr>
  </w:style>
  <w:style w:type="paragraph" w:customStyle="1" w:styleId="ReferencesClauseTitle">
    <w:name w:val="References Clause Title"/>
    <w:basedOn w:val="Normal"/>
    <w:next w:val="BodyTextIndent"/>
    <w:rsid w:val="00D964A7"/>
    <w:pPr>
      <w:keepNext/>
      <w:spacing w:before="240"/>
    </w:pPr>
    <w:rPr>
      <w:rFonts w:ascii="Arial" w:hAnsi="Arial"/>
      <w:b/>
      <w:caps/>
    </w:rPr>
  </w:style>
  <w:style w:type="paragraph" w:customStyle="1" w:styleId="TableCaption">
    <w:name w:val="Table Caption"/>
    <w:basedOn w:val="Normal"/>
    <w:next w:val="BodyTextIndent"/>
    <w:rsid w:val="00D964A7"/>
    <w:pPr>
      <w:jc w:val="center"/>
    </w:pPr>
    <w:rPr>
      <w:rFonts w:ascii="Arial" w:hAnsi="Arial"/>
      <w:b/>
    </w:rPr>
  </w:style>
  <w:style w:type="paragraph" w:customStyle="1" w:styleId="TextHeading1">
    <w:name w:val="Text Heading 1"/>
    <w:basedOn w:val="Normal"/>
    <w:next w:val="BodyTextIndent"/>
    <w:rsid w:val="00D964A7"/>
    <w:pPr>
      <w:keepNext/>
      <w:spacing w:before="240"/>
    </w:pPr>
    <w:rPr>
      <w:rFonts w:ascii="Arial" w:hAnsi="Arial"/>
      <w:b/>
      <w:caps/>
    </w:rPr>
  </w:style>
  <w:style w:type="paragraph" w:customStyle="1" w:styleId="TextHeading2">
    <w:name w:val="Text Heading 2"/>
    <w:basedOn w:val="Normal"/>
    <w:next w:val="BodyTextIndent"/>
    <w:rsid w:val="00D964A7"/>
    <w:pPr>
      <w:keepNext/>
      <w:spacing w:before="240"/>
    </w:pPr>
    <w:rPr>
      <w:rFonts w:ascii="Arial" w:hAnsi="Arial"/>
      <w:b/>
      <w:u w:val="single"/>
    </w:rPr>
  </w:style>
  <w:style w:type="paragraph" w:customStyle="1" w:styleId="TextHeading3">
    <w:name w:val="Text Heading 3"/>
    <w:basedOn w:val="Normal"/>
    <w:next w:val="BodyTextIndent"/>
    <w:rsid w:val="00D964A7"/>
    <w:pPr>
      <w:spacing w:before="240"/>
      <w:ind w:left="360"/>
    </w:pPr>
    <w:rPr>
      <w:rFonts w:ascii="Arial" w:hAnsi="Arial"/>
      <w:b/>
      <w:u w:val="single"/>
    </w:rPr>
  </w:style>
  <w:style w:type="paragraph" w:styleId="Title">
    <w:name w:val="Title"/>
    <w:basedOn w:val="Normal"/>
    <w:qFormat/>
    <w:rsid w:val="00D964A7"/>
    <w:pPr>
      <w:spacing w:before="760"/>
      <w:jc w:val="center"/>
    </w:pPr>
    <w:rPr>
      <w:rFonts w:ascii="Arial" w:hAnsi="Arial"/>
      <w:b/>
      <w:caps/>
      <w:sz w:val="24"/>
    </w:rPr>
  </w:style>
  <w:style w:type="paragraph" w:styleId="Caption">
    <w:name w:val="caption"/>
    <w:basedOn w:val="Normal"/>
    <w:next w:val="Normal"/>
    <w:qFormat/>
    <w:rsid w:val="00D964A7"/>
    <w:pPr>
      <w:spacing w:before="120" w:after="120"/>
    </w:pPr>
    <w:rPr>
      <w:b/>
    </w:rPr>
  </w:style>
  <w:style w:type="paragraph" w:styleId="BalloonText">
    <w:name w:val="Balloon Text"/>
    <w:basedOn w:val="Normal"/>
    <w:link w:val="BalloonTextChar"/>
    <w:uiPriority w:val="99"/>
    <w:semiHidden/>
    <w:unhideWhenUsed/>
    <w:rsid w:val="00C322DD"/>
    <w:rPr>
      <w:rFonts w:ascii="Tahoma" w:hAnsi="Tahoma" w:cs="Tahoma"/>
      <w:sz w:val="16"/>
      <w:szCs w:val="16"/>
    </w:rPr>
  </w:style>
  <w:style w:type="character" w:customStyle="1" w:styleId="BalloonTextChar">
    <w:name w:val="Balloon Text Char"/>
    <w:basedOn w:val="DefaultParagraphFont"/>
    <w:link w:val="BalloonText"/>
    <w:uiPriority w:val="99"/>
    <w:semiHidden/>
    <w:rsid w:val="00C322DD"/>
    <w:rPr>
      <w:rFonts w:ascii="Tahoma" w:hAnsi="Tahoma" w:cs="Tahoma"/>
      <w:kern w:val="14"/>
      <w:sz w:val="16"/>
      <w:szCs w:val="16"/>
    </w:rPr>
  </w:style>
  <w:style w:type="character" w:styleId="CommentReference">
    <w:name w:val="annotation reference"/>
    <w:basedOn w:val="DefaultParagraphFont"/>
    <w:uiPriority w:val="99"/>
    <w:semiHidden/>
    <w:unhideWhenUsed/>
    <w:rsid w:val="00D532C6"/>
    <w:rPr>
      <w:sz w:val="16"/>
      <w:szCs w:val="16"/>
    </w:rPr>
  </w:style>
  <w:style w:type="paragraph" w:styleId="CommentText">
    <w:name w:val="annotation text"/>
    <w:basedOn w:val="Normal"/>
    <w:link w:val="CommentTextChar"/>
    <w:uiPriority w:val="99"/>
    <w:unhideWhenUsed/>
    <w:rsid w:val="00D532C6"/>
  </w:style>
  <w:style w:type="character" w:customStyle="1" w:styleId="CommentTextChar">
    <w:name w:val="Comment Text Char"/>
    <w:basedOn w:val="DefaultParagraphFont"/>
    <w:link w:val="CommentText"/>
    <w:uiPriority w:val="99"/>
    <w:rsid w:val="00D532C6"/>
    <w:rPr>
      <w:kern w:val="14"/>
    </w:rPr>
  </w:style>
  <w:style w:type="paragraph" w:styleId="CommentSubject">
    <w:name w:val="annotation subject"/>
    <w:basedOn w:val="CommentText"/>
    <w:next w:val="CommentText"/>
    <w:link w:val="CommentSubjectChar"/>
    <w:uiPriority w:val="99"/>
    <w:semiHidden/>
    <w:unhideWhenUsed/>
    <w:rsid w:val="00D532C6"/>
    <w:rPr>
      <w:b/>
      <w:bCs/>
    </w:rPr>
  </w:style>
  <w:style w:type="character" w:customStyle="1" w:styleId="CommentSubjectChar">
    <w:name w:val="Comment Subject Char"/>
    <w:basedOn w:val="CommentTextChar"/>
    <w:link w:val="CommentSubject"/>
    <w:uiPriority w:val="99"/>
    <w:semiHidden/>
    <w:rsid w:val="00D532C6"/>
    <w:rPr>
      <w:b/>
      <w:bCs/>
      <w:kern w:val="14"/>
    </w:rPr>
  </w:style>
  <w:style w:type="paragraph" w:styleId="Revision">
    <w:name w:val="Revision"/>
    <w:hidden/>
    <w:uiPriority w:val="99"/>
    <w:semiHidden/>
    <w:rsid w:val="00F212F3"/>
    <w:rPr>
      <w:kern w:val="14"/>
    </w:rPr>
  </w:style>
  <w:style w:type="character" w:customStyle="1" w:styleId="FooterChar">
    <w:name w:val="Footer Char"/>
    <w:basedOn w:val="DefaultParagraphFont"/>
    <w:link w:val="Footer"/>
    <w:uiPriority w:val="99"/>
    <w:rsid w:val="00136502"/>
    <w:rPr>
      <w:kern w:val="14"/>
    </w:rPr>
  </w:style>
  <w:style w:type="paragraph" w:styleId="ListParagraph">
    <w:name w:val="List Paragraph"/>
    <w:basedOn w:val="Normal"/>
    <w:uiPriority w:val="34"/>
    <w:qFormat/>
    <w:rsid w:val="00B05554"/>
    <w:pPr>
      <w:suppressAutoHyphens w:val="0"/>
      <w:spacing w:after="160" w:line="259" w:lineRule="auto"/>
      <w:ind w:left="720"/>
      <w:contextualSpacing/>
      <w:jc w:val="left"/>
    </w:pPr>
    <w:rPr>
      <w:rFonts w:asciiTheme="minorHAnsi" w:eastAsiaTheme="minorHAnsi" w:hAnsiTheme="minorHAnsi" w:cstheme="minorBidi"/>
      <w:kern w:val="0"/>
      <w:sz w:val="22"/>
      <w:szCs w:val="22"/>
    </w:rPr>
  </w:style>
  <w:style w:type="character" w:customStyle="1" w:styleId="cf01">
    <w:name w:val="cf01"/>
    <w:basedOn w:val="DefaultParagraphFont"/>
    <w:rsid w:val="008C7216"/>
    <w:rPr>
      <w:rFonts w:ascii="Segoe UI" w:hAnsi="Segoe UI" w:cs="Segoe UI" w:hint="default"/>
      <w:sz w:val="18"/>
      <w:szCs w:val="18"/>
    </w:rPr>
  </w:style>
  <w:style w:type="character" w:customStyle="1" w:styleId="rynqvb">
    <w:name w:val="rynqvb"/>
    <w:basedOn w:val="DefaultParagraphFont"/>
    <w:rsid w:val="008C7216"/>
  </w:style>
  <w:style w:type="table" w:styleId="TableGrid">
    <w:name w:val="Table Grid"/>
    <w:basedOn w:val="TableNormal"/>
    <w:uiPriority w:val="59"/>
    <w:rsid w:val="00EB5BEE"/>
    <w:rPr>
      <w:rFonts w:asciiTheme="minorHAnsi" w:eastAsiaTheme="minorHAnsi" w:hAnsiTheme="minorHAnsi" w:cstheme="minorBidi"/>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5BEE"/>
    <w:pPr>
      <w:suppressAutoHyphens w:val="0"/>
      <w:spacing w:before="100" w:beforeAutospacing="1" w:after="100" w:afterAutospacing="1"/>
      <w:jc w:val="left"/>
    </w:pPr>
    <w:rPr>
      <w:rFonts w:eastAsia="Times New Roman"/>
      <w:kern w:val="0"/>
      <w:sz w:val="24"/>
      <w:szCs w:val="24"/>
    </w:rPr>
  </w:style>
  <w:style w:type="character" w:customStyle="1" w:styleId="Heading3Char">
    <w:name w:val="Heading 3 Char"/>
    <w:basedOn w:val="DefaultParagraphFont"/>
    <w:link w:val="Heading3"/>
    <w:uiPriority w:val="9"/>
    <w:rsid w:val="00D653EF"/>
    <w:rPr>
      <w:rFonts w:asciiTheme="minorHAnsi" w:eastAsiaTheme="majorEastAsia" w:hAnsiTheme="minorHAnsi" w:cstheme="majorBidi"/>
      <w:color w:val="365F91" w:themeColor="accent1" w:themeShade="BF"/>
      <w:kern w:val="2"/>
      <w:sz w:val="28"/>
      <w:szCs w:val="28"/>
      <w:lang w:val="en-CA"/>
      <w14:ligatures w14:val="standardContextual"/>
    </w:rPr>
  </w:style>
  <w:style w:type="table" w:styleId="PlainTable2">
    <w:name w:val="Plain Table 2"/>
    <w:basedOn w:val="TableNormal"/>
    <w:uiPriority w:val="42"/>
    <w:rsid w:val="00D653E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IndentChar">
    <w:name w:val="Body Text Indent Char"/>
    <w:basedOn w:val="DefaultParagraphFont"/>
    <w:link w:val="BodyTextIndent"/>
    <w:semiHidden/>
    <w:rsid w:val="00026103"/>
    <w:rPr>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18599">
      <w:bodyDiv w:val="1"/>
      <w:marLeft w:val="0"/>
      <w:marRight w:val="0"/>
      <w:marTop w:val="0"/>
      <w:marBottom w:val="0"/>
      <w:divBdr>
        <w:top w:val="none" w:sz="0" w:space="0" w:color="auto"/>
        <w:left w:val="none" w:sz="0" w:space="0" w:color="auto"/>
        <w:bottom w:val="none" w:sz="0" w:space="0" w:color="auto"/>
        <w:right w:val="none" w:sz="0" w:space="0" w:color="auto"/>
      </w:divBdr>
    </w:div>
    <w:div w:id="592975968">
      <w:bodyDiv w:val="1"/>
      <w:marLeft w:val="0"/>
      <w:marRight w:val="0"/>
      <w:marTop w:val="0"/>
      <w:marBottom w:val="0"/>
      <w:divBdr>
        <w:top w:val="none" w:sz="0" w:space="0" w:color="auto"/>
        <w:left w:val="none" w:sz="0" w:space="0" w:color="auto"/>
        <w:bottom w:val="none" w:sz="0" w:space="0" w:color="auto"/>
        <w:right w:val="none" w:sz="0" w:space="0" w:color="auto"/>
      </w:divBdr>
    </w:div>
    <w:div w:id="1109424752">
      <w:bodyDiv w:val="1"/>
      <w:marLeft w:val="0"/>
      <w:marRight w:val="0"/>
      <w:marTop w:val="0"/>
      <w:marBottom w:val="0"/>
      <w:divBdr>
        <w:top w:val="none" w:sz="0" w:space="0" w:color="auto"/>
        <w:left w:val="none" w:sz="0" w:space="0" w:color="auto"/>
        <w:bottom w:val="none" w:sz="0" w:space="0" w:color="auto"/>
        <w:right w:val="none" w:sz="0" w:space="0" w:color="auto"/>
      </w:divBdr>
    </w:div>
    <w:div w:id="1591692117">
      <w:bodyDiv w:val="1"/>
      <w:marLeft w:val="0"/>
      <w:marRight w:val="0"/>
      <w:marTop w:val="0"/>
      <w:marBottom w:val="0"/>
      <w:divBdr>
        <w:top w:val="none" w:sz="0" w:space="0" w:color="auto"/>
        <w:left w:val="none" w:sz="0" w:space="0" w:color="auto"/>
        <w:bottom w:val="none" w:sz="0" w:space="0" w:color="auto"/>
        <w:right w:val="none" w:sz="0" w:space="0" w:color="auto"/>
      </w:divBdr>
      <w:divsChild>
        <w:div w:id="1915578791">
          <w:marLeft w:val="360"/>
          <w:marRight w:val="0"/>
          <w:marTop w:val="200"/>
          <w:marBottom w:val="0"/>
          <w:divBdr>
            <w:top w:val="none" w:sz="0" w:space="0" w:color="auto"/>
            <w:left w:val="none" w:sz="0" w:space="0" w:color="auto"/>
            <w:bottom w:val="none" w:sz="0" w:space="0" w:color="auto"/>
            <w:right w:val="none" w:sz="0" w:space="0" w:color="auto"/>
          </w:divBdr>
        </w:div>
      </w:divsChild>
    </w:div>
    <w:div w:id="2081101465">
      <w:bodyDiv w:val="1"/>
      <w:marLeft w:val="0"/>
      <w:marRight w:val="0"/>
      <w:marTop w:val="0"/>
      <w:marBottom w:val="0"/>
      <w:divBdr>
        <w:top w:val="none" w:sz="0" w:space="0" w:color="auto"/>
        <w:left w:val="none" w:sz="0" w:space="0" w:color="auto"/>
        <w:bottom w:val="none" w:sz="0" w:space="0" w:color="auto"/>
        <w:right w:val="none" w:sz="0" w:space="0" w:color="auto"/>
      </w:divBdr>
    </w:div>
    <w:div w:id="2096124463">
      <w:bodyDiv w:val="1"/>
      <w:marLeft w:val="0"/>
      <w:marRight w:val="0"/>
      <w:marTop w:val="0"/>
      <w:marBottom w:val="0"/>
      <w:divBdr>
        <w:top w:val="none" w:sz="0" w:space="0" w:color="auto"/>
        <w:left w:val="none" w:sz="0" w:space="0" w:color="auto"/>
        <w:bottom w:val="none" w:sz="0" w:space="0" w:color="auto"/>
        <w:right w:val="none" w:sz="0" w:space="0" w:color="auto"/>
      </w:divBdr>
      <w:divsChild>
        <w:div w:id="12054872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6" ma:contentTypeDescription="새 문서를 만듭니다." ma:contentTypeScope="" ma:versionID="c5da32ffbb99c4243afbd5b38aee955f">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8685ac0444cac5e99ad72570dbc781fe"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A3108-526D-46CF-BA32-4A4896B40C9D}">
  <ds:schemaRefs>
    <ds:schemaRef ds:uri="http://schemas.microsoft.com/sharepoint/v3/contenttype/forms"/>
  </ds:schemaRefs>
</ds:datastoreItem>
</file>

<file path=customXml/itemProps2.xml><?xml version="1.0" encoding="utf-8"?>
<ds:datastoreItem xmlns:ds="http://schemas.openxmlformats.org/officeDocument/2006/customXml" ds:itemID="{AF6B6017-6F2D-4E72-A0F5-C0C9A243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64a4-0d16-41cc-93e1-02e5e4175d64"/>
    <ds:schemaRef ds:uri="81f186f9-12fc-49c4-b34b-83e22dad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71EF-FB57-4F86-AA94-86CB751E8246}">
  <ds:schemaRefs>
    <ds:schemaRef ds:uri="http://schemas.microsoft.com/office/2006/metadata/properties"/>
    <ds:schemaRef ds:uri="http://schemas.microsoft.com/office/infopath/2007/PartnerControls"/>
    <ds:schemaRef ds:uri="81f186f9-12fc-49c4-b34b-83e22dad0ebe"/>
    <ds:schemaRef ds:uri="cfd664a4-0d16-41cc-93e1-02e5e4175d64"/>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1617</Words>
  <Characters>9217</Characters>
  <Application>Microsoft Office Word</Application>
  <DocSecurity>0</DocSecurity>
  <Lines>76</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Put Paper Title Here</vt:lpstr>
      <vt:lpstr>Put Paper Title Here</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INSPI</dc:creator>
  <cp:keywords/>
  <dc:description/>
  <cp:lastModifiedBy>ABDELRAHMAN IRBAI</cp:lastModifiedBy>
  <cp:revision>34</cp:revision>
  <cp:lastPrinted>2023-05-12T08:24:00Z</cp:lastPrinted>
  <dcterms:created xsi:type="dcterms:W3CDTF">2023-05-14T17:48:00Z</dcterms:created>
  <dcterms:modified xsi:type="dcterms:W3CDTF">2025-06-01T19:43:00Z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ies>
</file>